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Development Land Value Memorandum</w:t>
      </w:r>
    </w:p>
    <w:p>
      <w:pPr>
        <w:jc w:val="center"/>
      </w:pPr>
      <w:r>
        <w:rPr>
          <w:b/>
          <w:sz w:val="26"/>
        </w:rPr>
        <w:t>Lower Development Parcel at 4900 Pleasant Valley Road Vernon BC</w:t>
      </w:r>
    </w:p>
    <w:p>
      <w:pPr>
        <w:jc w:val="center"/>
      </w:pPr>
      <w:r>
        <w:rPr>
          <w:i/>
        </w:rPr>
        <w:t>Planning level opinion as at September 13 2026</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360"/>
        <w:gridCol w:w="3360"/>
        <w:gridCol w:w="3360"/>
      </w:tblGrid>
      <w:tr>
        <w:tc>
          <w:tcPr>
            <w:tcW w:type="dxa" w:w="3168"/>
            <w:shd w:fill="24364B"/>
            <w:vAlign w:val="center"/>
            <w:tcMar>
              <w:top w:w="90" w:type="dxa"/>
              <w:start w:w="90" w:type="dxa"/>
              <w:bottom w:w="90" w:type="dxa"/>
              <w:end w:w="90" w:type="dxa"/>
            </w:tcMar>
          </w:tcPr>
          <w:p>
            <w:r>
              <w:rPr>
                <w:b/>
                <w:color w:val="FFFFFF"/>
                <w:sz w:val="18"/>
              </w:rPr>
              <w:t>Prepared for</w:t>
            </w:r>
          </w:p>
        </w:tc>
        <w:tc>
          <w:tcPr>
            <w:tcW w:type="dxa" w:w="3456"/>
            <w:shd w:fill="24364B"/>
            <w:vAlign w:val="center"/>
            <w:tcMar>
              <w:top w:w="90" w:type="dxa"/>
              <w:start w:w="90" w:type="dxa"/>
              <w:bottom w:w="90" w:type="dxa"/>
              <w:end w:w="90" w:type="dxa"/>
            </w:tcMar>
          </w:tcPr>
          <w:p>
            <w:r>
              <w:rPr>
                <w:b/>
                <w:color w:val="FFFFFF"/>
                <w:sz w:val="18"/>
              </w:rPr>
              <w:t>Property interest</w:t>
            </w:r>
          </w:p>
        </w:tc>
        <w:tc>
          <w:tcPr>
            <w:tcW w:type="dxa" w:w="3456"/>
            <w:shd w:fill="24364B"/>
            <w:vAlign w:val="center"/>
            <w:tcMar>
              <w:top w:w="90" w:type="dxa"/>
              <w:start w:w="90" w:type="dxa"/>
              <w:bottom w:w="90" w:type="dxa"/>
              <w:end w:w="90" w:type="dxa"/>
            </w:tcMar>
          </w:tcPr>
          <w:p>
            <w:r>
              <w:rPr>
                <w:b/>
                <w:color w:val="FFFFFF"/>
                <w:sz w:val="18"/>
              </w:rPr>
              <w:t>Purpose</w:t>
            </w:r>
          </w:p>
        </w:tc>
      </w:tr>
      <w:tr>
        <w:tc>
          <w:tcPr>
            <w:tcW w:type="dxa" w:w="3168"/>
            <w:vAlign w:val="center"/>
            <w:tcMar>
              <w:top w:w="90" w:type="dxa"/>
              <w:start w:w="90" w:type="dxa"/>
              <w:bottom w:w="90" w:type="dxa"/>
              <w:end w:w="90" w:type="dxa"/>
            </w:tcMar>
          </w:tcPr>
          <w:p>
            <w:pPr>
              <w:spacing w:after="0"/>
            </w:pPr>
            <w:r>
              <w:rPr>
                <w:sz w:val="18"/>
              </w:rPr>
              <w:t>Kulwinder Kelly Dhaliwal</w:t>
            </w:r>
          </w:p>
        </w:tc>
        <w:tc>
          <w:tcPr>
            <w:tcW w:type="dxa" w:w="3456"/>
            <w:vAlign w:val="center"/>
            <w:tcMar>
              <w:top w:w="90" w:type="dxa"/>
              <w:start w:w="90" w:type="dxa"/>
              <w:bottom w:w="90" w:type="dxa"/>
              <w:end w:w="90" w:type="dxa"/>
            </w:tcMar>
          </w:tcPr>
          <w:p>
            <w:pPr>
              <w:spacing w:after="0"/>
            </w:pPr>
            <w:r>
              <w:rPr>
                <w:sz w:val="18"/>
              </w:rPr>
              <w:t>Proposed lower parcel only</w:t>
              <w:br/>
              <w:t>Approximately 1.25 acres</w:t>
            </w:r>
          </w:p>
        </w:tc>
        <w:tc>
          <w:tcPr>
            <w:tcW w:type="dxa" w:w="3456"/>
            <w:vAlign w:val="center"/>
            <w:tcMar>
              <w:top w:w="90" w:type="dxa"/>
              <w:start w:w="90" w:type="dxa"/>
              <w:bottom w:w="90" w:type="dxa"/>
              <w:end w:w="90" w:type="dxa"/>
            </w:tcMar>
          </w:tcPr>
          <w:p>
            <w:pPr>
              <w:spacing w:after="0"/>
            </w:pPr>
            <w:r>
              <w:rPr>
                <w:sz w:val="18"/>
              </w:rPr>
              <w:t>Internal planning and negotiations</w:t>
            </w:r>
          </w:p>
        </w:tc>
      </w:tr>
    </w:tbl>
    <w:p>
      <w:pPr>
        <w:spacing w:after="0"/>
      </w:pPr>
    </w:p>
    <w:p>
      <w:pPr>
        <w:pStyle w:val="Heading1"/>
      </w:pPr>
      <w:r>
        <w:t>Value Conclusion</w:t>
      </w:r>
    </w:p>
    <w:p>
      <w:r>
        <w:rPr>
          <w:b/>
        </w:rPr>
        <w:t xml:space="preserve">Indicated present land value range  </w:t>
      </w:r>
      <w:r>
        <w:rPr>
          <w:b/>
          <w:color w:val="1F4E79"/>
          <w:sz w:val="28"/>
        </w:rPr>
        <w:t>$1,300,000 to $1,550,000</w:t>
      </w:r>
    </w:p>
    <w:p>
      <w:r>
        <w:rPr>
          <w:b/>
        </w:rPr>
        <w:t xml:space="preserve">Recommended midpoint planning value  </w:t>
      </w:r>
      <w:r>
        <w:rPr>
          <w:b/>
          <w:sz w:val="26"/>
        </w:rPr>
        <w:t>$1,425,000</w:t>
      </w:r>
    </w:p>
    <w:p>
      <w:r>
        <w:t>The conclusion applies to the proposed 0.508 hectare lower development parcel while the upper parcel and existing house remain separate. It assumes the lower parcel can be created substantially in accordance with the City preliminary layout review and can support a practical townhouse yield of approximately 23 to 25 units. The conclusion does not assume that 28 to 30 units have received final development approval.</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520"/>
        <w:gridCol w:w="2520"/>
        <w:gridCol w:w="2520"/>
        <w:gridCol w:w="2520"/>
      </w:tblGrid>
      <w:tr>
        <w:tc>
          <w:tcPr>
            <w:tcW w:type="dxa" w:w="2880"/>
            <w:shd w:fill="24364B"/>
            <w:vAlign w:val="center"/>
            <w:tcMar>
              <w:top w:w="90" w:type="dxa"/>
              <w:start w:w="90" w:type="dxa"/>
              <w:bottom w:w="90" w:type="dxa"/>
              <w:end w:w="90" w:type="dxa"/>
            </w:tcMar>
          </w:tcPr>
          <w:p>
            <w:r>
              <w:rPr>
                <w:b/>
                <w:color w:val="FFFFFF"/>
                <w:sz w:val="18"/>
              </w:rPr>
              <w:t>Valuation case</w:t>
            </w:r>
          </w:p>
        </w:tc>
        <w:tc>
          <w:tcPr>
            <w:tcW w:type="dxa" w:w="2304"/>
            <w:shd w:fill="24364B"/>
            <w:vAlign w:val="center"/>
            <w:tcMar>
              <w:top w:w="90" w:type="dxa"/>
              <w:start w:w="90" w:type="dxa"/>
              <w:bottom w:w="90" w:type="dxa"/>
              <w:end w:w="90" w:type="dxa"/>
            </w:tcMar>
          </w:tcPr>
          <w:p>
            <w:r>
              <w:rPr>
                <w:b/>
                <w:color w:val="FFFFFF"/>
                <w:sz w:val="18"/>
              </w:rPr>
              <w:t>Density assumption</w:t>
            </w:r>
          </w:p>
        </w:tc>
        <w:tc>
          <w:tcPr>
            <w:tcW w:type="dxa" w:w="2160"/>
            <w:shd w:fill="24364B"/>
            <w:vAlign w:val="center"/>
            <w:tcMar>
              <w:top w:w="90" w:type="dxa"/>
              <w:start w:w="90" w:type="dxa"/>
              <w:bottom w:w="90" w:type="dxa"/>
              <w:end w:w="90" w:type="dxa"/>
            </w:tcMar>
          </w:tcPr>
          <w:p>
            <w:r>
              <w:rPr>
                <w:b/>
                <w:color w:val="FFFFFF"/>
                <w:sz w:val="18"/>
              </w:rPr>
              <w:t>Rate per unit</w:t>
            </w:r>
          </w:p>
        </w:tc>
        <w:tc>
          <w:tcPr>
            <w:tcW w:type="dxa" w:w="2592"/>
            <w:shd w:fill="24364B"/>
            <w:vAlign w:val="center"/>
            <w:tcMar>
              <w:top w:w="90" w:type="dxa"/>
              <w:start w:w="90" w:type="dxa"/>
              <w:bottom w:w="90" w:type="dxa"/>
              <w:end w:w="90" w:type="dxa"/>
            </w:tcMar>
          </w:tcPr>
          <w:p>
            <w:r>
              <w:rPr>
                <w:b/>
                <w:color w:val="FFFFFF"/>
                <w:sz w:val="18"/>
              </w:rPr>
              <w:t>Indicated value</w:t>
            </w:r>
          </w:p>
        </w:tc>
      </w:tr>
      <w:tr>
        <w:tc>
          <w:tcPr>
            <w:tcW w:type="dxa" w:w="2880"/>
            <w:vAlign w:val="center"/>
            <w:tcMar>
              <w:top w:w="90" w:type="dxa"/>
              <w:start w:w="90" w:type="dxa"/>
              <w:bottom w:w="90" w:type="dxa"/>
              <w:end w:w="90" w:type="dxa"/>
            </w:tcMar>
          </w:tcPr>
          <w:p>
            <w:pPr>
              <w:spacing w:after="0"/>
            </w:pPr>
            <w:r>
              <w:rPr>
                <w:sz w:val="18"/>
              </w:rPr>
              <w:t>Lower bound</w:t>
            </w:r>
          </w:p>
        </w:tc>
        <w:tc>
          <w:tcPr>
            <w:tcW w:type="dxa" w:w="2304"/>
            <w:vAlign w:val="center"/>
            <w:tcMar>
              <w:top w:w="90" w:type="dxa"/>
              <w:start w:w="90" w:type="dxa"/>
              <w:bottom w:w="90" w:type="dxa"/>
              <w:end w:w="90" w:type="dxa"/>
            </w:tcMar>
          </w:tcPr>
          <w:p>
            <w:pPr>
              <w:spacing w:after="0"/>
            </w:pPr>
            <w:r>
              <w:rPr>
                <w:sz w:val="18"/>
              </w:rPr>
              <w:t>23 units</w:t>
            </w:r>
          </w:p>
        </w:tc>
        <w:tc>
          <w:tcPr>
            <w:tcW w:type="dxa" w:w="2160"/>
            <w:vAlign w:val="center"/>
            <w:tcMar>
              <w:top w:w="90" w:type="dxa"/>
              <w:start w:w="90" w:type="dxa"/>
              <w:bottom w:w="90" w:type="dxa"/>
              <w:end w:w="90" w:type="dxa"/>
            </w:tcMar>
          </w:tcPr>
          <w:p>
            <w:pPr>
              <w:spacing w:after="0"/>
            </w:pPr>
            <w:r>
              <w:rPr>
                <w:sz w:val="18"/>
              </w:rPr>
              <w:t>$55,000</w:t>
            </w:r>
          </w:p>
        </w:tc>
        <w:tc>
          <w:tcPr>
            <w:tcW w:type="dxa" w:w="2592"/>
            <w:vAlign w:val="center"/>
            <w:tcMar>
              <w:top w:w="90" w:type="dxa"/>
              <w:start w:w="90" w:type="dxa"/>
              <w:bottom w:w="90" w:type="dxa"/>
              <w:end w:w="90" w:type="dxa"/>
            </w:tcMar>
          </w:tcPr>
          <w:p>
            <w:pPr>
              <w:spacing w:after="0"/>
            </w:pPr>
            <w:r>
              <w:rPr>
                <w:sz w:val="18"/>
              </w:rPr>
              <w:t>$1,265,000</w:t>
            </w:r>
          </w:p>
        </w:tc>
      </w:tr>
      <w:tr>
        <w:tc>
          <w:tcPr>
            <w:tcW w:type="dxa" w:w="2880"/>
            <w:vAlign w:val="center"/>
            <w:tcMar>
              <w:top w:w="90" w:type="dxa"/>
              <w:start w:w="90" w:type="dxa"/>
              <w:bottom w:w="90" w:type="dxa"/>
              <w:end w:w="90" w:type="dxa"/>
            </w:tcMar>
            <w:shd w:fill="F3F6F8"/>
          </w:tcPr>
          <w:p>
            <w:pPr>
              <w:spacing w:after="0"/>
            </w:pPr>
            <w:r>
              <w:rPr>
                <w:sz w:val="18"/>
              </w:rPr>
              <w:t>Central case</w:t>
            </w:r>
          </w:p>
        </w:tc>
        <w:tc>
          <w:tcPr>
            <w:tcW w:type="dxa" w:w="2304"/>
            <w:vAlign w:val="center"/>
            <w:tcMar>
              <w:top w:w="90" w:type="dxa"/>
              <w:start w:w="90" w:type="dxa"/>
              <w:bottom w:w="90" w:type="dxa"/>
              <w:end w:w="90" w:type="dxa"/>
            </w:tcMar>
            <w:shd w:fill="F3F6F8"/>
          </w:tcPr>
          <w:p>
            <w:pPr>
              <w:spacing w:after="0"/>
            </w:pPr>
            <w:r>
              <w:rPr>
                <w:sz w:val="18"/>
              </w:rPr>
              <w:t>24 units</w:t>
            </w:r>
          </w:p>
        </w:tc>
        <w:tc>
          <w:tcPr>
            <w:tcW w:type="dxa" w:w="2160"/>
            <w:vAlign w:val="center"/>
            <w:tcMar>
              <w:top w:w="90" w:type="dxa"/>
              <w:start w:w="90" w:type="dxa"/>
              <w:bottom w:w="90" w:type="dxa"/>
              <w:end w:w="90" w:type="dxa"/>
            </w:tcMar>
            <w:shd w:fill="F3F6F8"/>
          </w:tcPr>
          <w:p>
            <w:pPr>
              <w:spacing w:after="0"/>
            </w:pPr>
            <w:r>
              <w:rPr>
                <w:sz w:val="18"/>
              </w:rPr>
              <w:t>$60,000</w:t>
            </w:r>
          </w:p>
        </w:tc>
        <w:tc>
          <w:tcPr>
            <w:tcW w:type="dxa" w:w="2592"/>
            <w:vAlign w:val="center"/>
            <w:tcMar>
              <w:top w:w="90" w:type="dxa"/>
              <w:start w:w="90" w:type="dxa"/>
              <w:bottom w:w="90" w:type="dxa"/>
              <w:end w:w="90" w:type="dxa"/>
            </w:tcMar>
            <w:shd w:fill="F3F6F8"/>
          </w:tcPr>
          <w:p>
            <w:pPr>
              <w:spacing w:after="0"/>
            </w:pPr>
            <w:r>
              <w:rPr>
                <w:sz w:val="18"/>
              </w:rPr>
              <w:t>$1,440,000</w:t>
            </w:r>
          </w:p>
        </w:tc>
      </w:tr>
      <w:tr>
        <w:tc>
          <w:tcPr>
            <w:tcW w:type="dxa" w:w="2880"/>
            <w:vAlign w:val="center"/>
            <w:tcMar>
              <w:top w:w="90" w:type="dxa"/>
              <w:start w:w="90" w:type="dxa"/>
              <w:bottom w:w="90" w:type="dxa"/>
              <w:end w:w="90" w:type="dxa"/>
            </w:tcMar>
          </w:tcPr>
          <w:p>
            <w:pPr>
              <w:spacing w:after="0"/>
            </w:pPr>
            <w:r>
              <w:rPr>
                <w:sz w:val="18"/>
              </w:rPr>
              <w:t>Upper present case</w:t>
            </w:r>
          </w:p>
        </w:tc>
        <w:tc>
          <w:tcPr>
            <w:tcW w:type="dxa" w:w="2304"/>
            <w:vAlign w:val="center"/>
            <w:tcMar>
              <w:top w:w="90" w:type="dxa"/>
              <w:start w:w="90" w:type="dxa"/>
              <w:bottom w:w="90" w:type="dxa"/>
              <w:end w:w="90" w:type="dxa"/>
            </w:tcMar>
          </w:tcPr>
          <w:p>
            <w:pPr>
              <w:spacing w:after="0"/>
            </w:pPr>
            <w:r>
              <w:rPr>
                <w:sz w:val="18"/>
              </w:rPr>
              <w:t>25 units</w:t>
            </w:r>
          </w:p>
        </w:tc>
        <w:tc>
          <w:tcPr>
            <w:tcW w:type="dxa" w:w="2160"/>
            <w:vAlign w:val="center"/>
            <w:tcMar>
              <w:top w:w="90" w:type="dxa"/>
              <w:start w:w="90" w:type="dxa"/>
              <w:bottom w:w="90" w:type="dxa"/>
              <w:end w:w="90" w:type="dxa"/>
            </w:tcMar>
          </w:tcPr>
          <w:p>
            <w:pPr>
              <w:spacing w:after="0"/>
            </w:pPr>
            <w:r>
              <w:rPr>
                <w:sz w:val="18"/>
              </w:rPr>
              <w:t>$62,000</w:t>
            </w:r>
          </w:p>
        </w:tc>
        <w:tc>
          <w:tcPr>
            <w:tcW w:type="dxa" w:w="2592"/>
            <w:vAlign w:val="center"/>
            <w:tcMar>
              <w:top w:w="90" w:type="dxa"/>
              <w:start w:w="90" w:type="dxa"/>
              <w:bottom w:w="90" w:type="dxa"/>
              <w:end w:w="90" w:type="dxa"/>
            </w:tcMar>
          </w:tcPr>
          <w:p>
            <w:pPr>
              <w:spacing w:after="0"/>
            </w:pPr>
            <w:r>
              <w:rPr>
                <w:sz w:val="18"/>
              </w:rPr>
              <w:t>$1,550,000</w:t>
            </w:r>
          </w:p>
        </w:tc>
      </w:tr>
      <w:tr>
        <w:tc>
          <w:tcPr>
            <w:tcW w:type="dxa" w:w="2880"/>
            <w:vAlign w:val="center"/>
            <w:tcMar>
              <w:top w:w="90" w:type="dxa"/>
              <w:start w:w="90" w:type="dxa"/>
              <w:bottom w:w="90" w:type="dxa"/>
              <w:end w:w="90" w:type="dxa"/>
            </w:tcMar>
            <w:shd w:fill="F3F6F8"/>
          </w:tcPr>
          <w:p>
            <w:pPr>
              <w:spacing w:after="0"/>
            </w:pPr>
            <w:r>
              <w:rPr>
                <w:sz w:val="18"/>
              </w:rPr>
              <w:t>Rounded present conclusion</w:t>
            </w:r>
          </w:p>
        </w:tc>
        <w:tc>
          <w:tcPr>
            <w:tcW w:type="dxa" w:w="2304"/>
            <w:vAlign w:val="center"/>
            <w:tcMar>
              <w:top w:w="90" w:type="dxa"/>
              <w:start w:w="90" w:type="dxa"/>
              <w:bottom w:w="90" w:type="dxa"/>
              <w:end w:w="90" w:type="dxa"/>
            </w:tcMar>
            <w:shd w:fill="F3F6F8"/>
          </w:tcPr>
          <w:p>
            <w:pPr>
              <w:spacing w:after="0"/>
            </w:pPr>
            <w:r>
              <w:rPr>
                <w:sz w:val="18"/>
              </w:rPr>
              <w:t>23 to 25 units</w:t>
            </w:r>
          </w:p>
        </w:tc>
        <w:tc>
          <w:tcPr>
            <w:tcW w:type="dxa" w:w="2160"/>
            <w:vAlign w:val="center"/>
            <w:tcMar>
              <w:top w:w="90" w:type="dxa"/>
              <w:start w:w="90" w:type="dxa"/>
              <w:bottom w:w="90" w:type="dxa"/>
              <w:end w:w="90" w:type="dxa"/>
            </w:tcMar>
            <w:shd w:fill="F3F6F8"/>
          </w:tcPr>
          <w:p>
            <w:pPr>
              <w:spacing w:after="0"/>
            </w:pPr>
            <w:r>
              <w:rPr>
                <w:sz w:val="18"/>
              </w:rPr>
              <w:t>Blended</w:t>
            </w:r>
          </w:p>
        </w:tc>
        <w:tc>
          <w:tcPr>
            <w:tcW w:type="dxa" w:w="2592"/>
            <w:vAlign w:val="center"/>
            <w:tcMar>
              <w:top w:w="90" w:type="dxa"/>
              <w:start w:w="90" w:type="dxa"/>
              <w:bottom w:w="90" w:type="dxa"/>
              <w:end w:w="90" w:type="dxa"/>
            </w:tcMar>
            <w:shd w:fill="F3F6F8"/>
          </w:tcPr>
          <w:p>
            <w:pPr>
              <w:spacing w:after="0"/>
            </w:pPr>
            <w:r>
              <w:rPr>
                <w:sz w:val="18"/>
              </w:rPr>
              <w:t>$1,300,000 to $1,550,000</w:t>
            </w:r>
          </w:p>
        </w:tc>
      </w:tr>
    </w:tbl>
    <w:p>
      <w:pPr>
        <w:spacing w:after="0"/>
      </w:pPr>
    </w:p>
    <w:p>
      <w:pPr>
        <w:pStyle w:val="Heading1"/>
      </w:pPr>
      <w:r>
        <w:t>Scope and Property Basis</w:t>
      </w:r>
    </w:p>
    <w:p>
      <w:r>
        <w:t>The subject interest is the proposed lower parcel shown on the Lawson Engineering subdivision sketch at approximately 0.508 hectares or 1.25 acres. The retained upper parcel is approximately 0.144 hectares and contains the existing residence. No value for that residence or upper parcel is included.</w:t>
      </w:r>
    </w:p>
    <w:p>
      <w:pPr>
        <w:pStyle w:val="ListBullet"/>
        <w:spacing w:after="60"/>
      </w:pPr>
      <w:r>
        <w:t>Proposed zoning basis is MUS Multi Unit Small Scale.</w:t>
      </w:r>
    </w:p>
    <w:p>
      <w:pPr>
        <w:pStyle w:val="ListBullet"/>
        <w:spacing w:after="60"/>
      </w:pPr>
      <w:r>
        <w:t>Theoretical zoning density is 60 dwelling units per hectare, which produces approximately 30 units before site constraints.</w:t>
      </w:r>
    </w:p>
    <w:p>
      <w:pPr>
        <w:pStyle w:val="ListBullet"/>
        <w:spacing w:after="60"/>
      </w:pPr>
      <w:r>
        <w:t>The accepted civil drawings identify sanitary, storm, water looping, frontage works, grading and easement obligations.</w:t>
      </w:r>
    </w:p>
    <w:p>
      <w:pPr>
        <w:pStyle w:val="ListBullet"/>
        <w:spacing w:after="60"/>
      </w:pPr>
      <w:r>
        <w:t>The site has material slope, drainage, retaining wall and access constraints that make theoretical density different from probable built density.</w:t>
      </w:r>
    </w:p>
    <w:p>
      <w:pPr>
        <w:pStyle w:val="Heading1"/>
      </w:pPr>
      <w:r>
        <w:t>Appraiser Market Evidence</w:t>
      </w:r>
    </w:p>
    <w:p>
      <w:r>
        <w:t>Joe Gourdine, P App AACI of L E Rivard and Associates advised that listings indicate an absolute upper limit and should not be relied upon as evidence of market value. His review relied on sales and considered the relatively soft market.</w:t>
      </w:r>
    </w:p>
    <w:p>
      <w:r>
        <w:t>His email provides two important valuation benchmarks. First, a proposed 29 unit plan equals 23.2 units per acre, while an actual built density of 18 to 20 units per acre is more probable. Second, the previously discussed rate of approximately $75,000 per unit was above what his review could support. He identified a probable range of approximately $55,000 to $65,000 per unit for the location and an upper-limit density scenario.</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360"/>
        <w:gridCol w:w="3360"/>
        <w:gridCol w:w="3360"/>
      </w:tblGrid>
      <w:tr>
        <w:tc>
          <w:tcPr>
            <w:tcW w:type="dxa" w:w="2880"/>
            <w:shd w:fill="24364B"/>
            <w:vAlign w:val="center"/>
            <w:tcMar>
              <w:top w:w="90" w:type="dxa"/>
              <w:start w:w="90" w:type="dxa"/>
              <w:bottom w:w="90" w:type="dxa"/>
              <w:end w:w="90" w:type="dxa"/>
            </w:tcMar>
          </w:tcPr>
          <w:p>
            <w:r>
              <w:rPr>
                <w:b/>
                <w:color w:val="FFFFFF"/>
                <w:sz w:val="18"/>
              </w:rPr>
              <w:t>Measure</w:t>
            </w:r>
          </w:p>
        </w:tc>
        <w:tc>
          <w:tcPr>
            <w:tcW w:type="dxa" w:w="3312"/>
            <w:shd w:fill="24364B"/>
            <w:vAlign w:val="center"/>
            <w:tcMar>
              <w:top w:w="90" w:type="dxa"/>
              <w:start w:w="90" w:type="dxa"/>
              <w:bottom w:w="90" w:type="dxa"/>
              <w:end w:w="90" w:type="dxa"/>
            </w:tcMar>
          </w:tcPr>
          <w:p>
            <w:r>
              <w:rPr>
                <w:b/>
                <w:color w:val="FFFFFF"/>
                <w:sz w:val="18"/>
              </w:rPr>
              <w:t>Appraiser indication</w:t>
            </w:r>
          </w:p>
        </w:tc>
        <w:tc>
          <w:tcPr>
            <w:tcW w:type="dxa" w:w="3744"/>
            <w:shd w:fill="24364B"/>
            <w:vAlign w:val="center"/>
            <w:tcMar>
              <w:top w:w="90" w:type="dxa"/>
              <w:start w:w="90" w:type="dxa"/>
              <w:bottom w:w="90" w:type="dxa"/>
              <w:end w:w="90" w:type="dxa"/>
            </w:tcMar>
          </w:tcPr>
          <w:p>
            <w:r>
              <w:rPr>
                <w:b/>
                <w:color w:val="FFFFFF"/>
                <w:sz w:val="18"/>
              </w:rPr>
              <w:t>Application to 1.25 acres</w:t>
            </w:r>
          </w:p>
        </w:tc>
      </w:tr>
      <w:tr>
        <w:tc>
          <w:tcPr>
            <w:tcW w:type="dxa" w:w="2880"/>
            <w:vAlign w:val="center"/>
            <w:tcMar>
              <w:top w:w="90" w:type="dxa"/>
              <w:start w:w="90" w:type="dxa"/>
              <w:bottom w:w="90" w:type="dxa"/>
              <w:end w:w="90" w:type="dxa"/>
            </w:tcMar>
          </w:tcPr>
          <w:p>
            <w:pPr>
              <w:spacing w:after="0"/>
            </w:pPr>
            <w:r>
              <w:rPr>
                <w:sz w:val="18"/>
              </w:rPr>
              <w:t>Probable built density</w:t>
            </w:r>
          </w:p>
        </w:tc>
        <w:tc>
          <w:tcPr>
            <w:tcW w:type="dxa" w:w="3312"/>
            <w:vAlign w:val="center"/>
            <w:tcMar>
              <w:top w:w="90" w:type="dxa"/>
              <w:start w:w="90" w:type="dxa"/>
              <w:bottom w:w="90" w:type="dxa"/>
              <w:end w:w="90" w:type="dxa"/>
            </w:tcMar>
          </w:tcPr>
          <w:p>
            <w:pPr>
              <w:spacing w:after="0"/>
            </w:pPr>
            <w:r>
              <w:rPr>
                <w:sz w:val="18"/>
              </w:rPr>
              <w:t>18 to 20 units per acre</w:t>
            </w:r>
          </w:p>
        </w:tc>
        <w:tc>
          <w:tcPr>
            <w:tcW w:type="dxa" w:w="3744"/>
            <w:vAlign w:val="center"/>
            <w:tcMar>
              <w:top w:w="90" w:type="dxa"/>
              <w:start w:w="90" w:type="dxa"/>
              <w:bottom w:w="90" w:type="dxa"/>
              <w:end w:w="90" w:type="dxa"/>
            </w:tcMar>
          </w:tcPr>
          <w:p>
            <w:pPr>
              <w:spacing w:after="0"/>
            </w:pPr>
            <w:r>
              <w:rPr>
                <w:sz w:val="18"/>
              </w:rPr>
              <w:t>22.5 to 25 units</w:t>
            </w:r>
          </w:p>
        </w:tc>
      </w:tr>
      <w:tr>
        <w:tc>
          <w:tcPr>
            <w:tcW w:type="dxa" w:w="2880"/>
            <w:vAlign w:val="center"/>
            <w:tcMar>
              <w:top w:w="90" w:type="dxa"/>
              <w:start w:w="90" w:type="dxa"/>
              <w:bottom w:w="90" w:type="dxa"/>
              <w:end w:w="90" w:type="dxa"/>
            </w:tcMar>
            <w:shd w:fill="F3F6F8"/>
          </w:tcPr>
          <w:p>
            <w:pPr>
              <w:spacing w:after="0"/>
            </w:pPr>
            <w:r>
              <w:rPr>
                <w:sz w:val="18"/>
              </w:rPr>
              <w:t>Supported land rate</w:t>
            </w:r>
          </w:p>
        </w:tc>
        <w:tc>
          <w:tcPr>
            <w:tcW w:type="dxa" w:w="3312"/>
            <w:vAlign w:val="center"/>
            <w:tcMar>
              <w:top w:w="90" w:type="dxa"/>
              <w:start w:w="90" w:type="dxa"/>
              <w:bottom w:w="90" w:type="dxa"/>
              <w:end w:w="90" w:type="dxa"/>
            </w:tcMar>
            <w:shd w:fill="F3F6F8"/>
          </w:tcPr>
          <w:p>
            <w:pPr>
              <w:spacing w:after="0"/>
            </w:pPr>
            <w:r>
              <w:rPr>
                <w:sz w:val="18"/>
              </w:rPr>
              <w:t>$55,000 to $65,000 per unit</w:t>
            </w:r>
          </w:p>
        </w:tc>
        <w:tc>
          <w:tcPr>
            <w:tcW w:type="dxa" w:w="3744"/>
            <w:vAlign w:val="center"/>
            <w:tcMar>
              <w:top w:w="90" w:type="dxa"/>
              <w:start w:w="90" w:type="dxa"/>
              <w:bottom w:w="90" w:type="dxa"/>
              <w:end w:w="90" w:type="dxa"/>
            </w:tcMar>
            <w:shd w:fill="F3F6F8"/>
          </w:tcPr>
          <w:p>
            <w:pPr>
              <w:spacing w:after="0"/>
            </w:pPr>
            <w:r>
              <w:rPr>
                <w:sz w:val="18"/>
              </w:rPr>
              <w:t>Applied by scenario</w:t>
            </w:r>
          </w:p>
        </w:tc>
      </w:tr>
      <w:tr>
        <w:tc>
          <w:tcPr>
            <w:tcW w:type="dxa" w:w="2880"/>
            <w:vAlign w:val="center"/>
            <w:tcMar>
              <w:top w:w="90" w:type="dxa"/>
              <w:start w:w="90" w:type="dxa"/>
              <w:bottom w:w="90" w:type="dxa"/>
              <w:end w:w="90" w:type="dxa"/>
            </w:tcMar>
          </w:tcPr>
          <w:p>
            <w:pPr>
              <w:spacing w:after="0"/>
            </w:pPr>
            <w:r>
              <w:rPr>
                <w:sz w:val="18"/>
              </w:rPr>
              <w:t>Unadjusted range</w:t>
            </w:r>
          </w:p>
        </w:tc>
        <w:tc>
          <w:tcPr>
            <w:tcW w:type="dxa" w:w="3312"/>
            <w:vAlign w:val="center"/>
            <w:tcMar>
              <w:top w:w="90" w:type="dxa"/>
              <w:start w:w="90" w:type="dxa"/>
              <w:bottom w:w="90" w:type="dxa"/>
              <w:end w:w="90" w:type="dxa"/>
            </w:tcMar>
          </w:tcPr>
          <w:p>
            <w:pPr>
              <w:spacing w:after="0"/>
            </w:pPr>
            <w:r>
              <w:rPr>
                <w:sz w:val="18"/>
              </w:rPr>
              <w:t>Density multiplied by unit rate</w:t>
            </w:r>
          </w:p>
        </w:tc>
        <w:tc>
          <w:tcPr>
            <w:tcW w:type="dxa" w:w="3744"/>
            <w:vAlign w:val="center"/>
            <w:tcMar>
              <w:top w:w="90" w:type="dxa"/>
              <w:start w:w="90" w:type="dxa"/>
              <w:bottom w:w="90" w:type="dxa"/>
              <w:end w:w="90" w:type="dxa"/>
            </w:tcMar>
          </w:tcPr>
          <w:p>
            <w:pPr>
              <w:spacing w:after="0"/>
            </w:pPr>
            <w:r>
              <w:rPr>
                <w:sz w:val="18"/>
              </w:rPr>
              <w:t>$1,237,500 to $1,625,000</w:t>
            </w:r>
          </w:p>
        </w:tc>
      </w:tr>
      <w:tr>
        <w:tc>
          <w:tcPr>
            <w:tcW w:type="dxa" w:w="2880"/>
            <w:vAlign w:val="center"/>
            <w:tcMar>
              <w:top w:w="90" w:type="dxa"/>
              <w:start w:w="90" w:type="dxa"/>
              <w:bottom w:w="90" w:type="dxa"/>
              <w:end w:w="90" w:type="dxa"/>
            </w:tcMar>
            <w:shd w:fill="F3F6F8"/>
          </w:tcPr>
          <w:p>
            <w:pPr>
              <w:spacing w:after="0"/>
            </w:pPr>
            <w:r>
              <w:rPr>
                <w:sz w:val="18"/>
              </w:rPr>
              <w:t>Central indication</w:t>
            </w:r>
          </w:p>
        </w:tc>
        <w:tc>
          <w:tcPr>
            <w:tcW w:type="dxa" w:w="3312"/>
            <w:vAlign w:val="center"/>
            <w:tcMar>
              <w:top w:w="90" w:type="dxa"/>
              <w:start w:w="90" w:type="dxa"/>
              <w:bottom w:w="90" w:type="dxa"/>
              <w:end w:w="90" w:type="dxa"/>
            </w:tcMar>
            <w:shd w:fill="F3F6F8"/>
          </w:tcPr>
          <w:p>
            <w:pPr>
              <w:spacing w:after="0"/>
            </w:pPr>
            <w:r>
              <w:rPr>
                <w:sz w:val="18"/>
              </w:rPr>
              <w:t>24 units at $60,000 per unit</w:t>
            </w:r>
          </w:p>
        </w:tc>
        <w:tc>
          <w:tcPr>
            <w:tcW w:type="dxa" w:w="3744"/>
            <w:vAlign w:val="center"/>
            <w:tcMar>
              <w:top w:w="90" w:type="dxa"/>
              <w:start w:w="90" w:type="dxa"/>
              <w:bottom w:w="90" w:type="dxa"/>
              <w:end w:w="90" w:type="dxa"/>
            </w:tcMar>
            <w:shd w:fill="F3F6F8"/>
          </w:tcPr>
          <w:p>
            <w:pPr>
              <w:spacing w:after="0"/>
            </w:pPr>
            <w:r>
              <w:rPr>
                <w:sz w:val="18"/>
              </w:rPr>
              <w:t>$1,440,000</w:t>
            </w:r>
          </w:p>
        </w:tc>
      </w:tr>
    </w:tbl>
    <w:p>
      <w:pPr>
        <w:spacing w:after="0"/>
      </w:pPr>
    </w:p>
    <w:p>
      <w:pPr>
        <w:pStyle w:val="Heading1"/>
      </w:pPr>
      <w:r>
        <w:t>Market Cross Checks</w:t>
      </w:r>
    </w:p>
    <w:p>
      <w:r>
        <w:t>Public sources do not disclose enough current arm’s-length Vernon development-land sale details to reproduce an appraisal-grade comparable-sales grid. The following evidence is therefore used as a reasonableness check, not as a substitute for the confidential sales reviewed by L E Rivard and Associates.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360"/>
        <w:gridCol w:w="3360"/>
        <w:gridCol w:w="3360"/>
      </w:tblGrid>
      <w:tr>
        <w:tc>
          <w:tcPr>
            <w:tcW w:type="dxa" w:w="2592"/>
            <w:shd w:fill="24364B"/>
            <w:vAlign w:val="center"/>
            <w:tcMar>
              <w:top w:w="90" w:type="dxa"/>
              <w:start w:w="90" w:type="dxa"/>
              <w:bottom w:w="90" w:type="dxa"/>
              <w:end w:w="90" w:type="dxa"/>
            </w:tcMar>
          </w:tcPr>
          <w:p>
            <w:r>
              <w:rPr>
                <w:b/>
                <w:color w:val="FFFFFF"/>
                <w:sz w:val="18"/>
              </w:rPr>
              <w:t>Evidence</w:t>
            </w:r>
          </w:p>
        </w:tc>
        <w:tc>
          <w:tcPr>
            <w:tcW w:type="dxa" w:w="3888"/>
            <w:shd w:fill="24364B"/>
            <w:vAlign w:val="center"/>
            <w:tcMar>
              <w:top w:w="90" w:type="dxa"/>
              <w:start w:w="90" w:type="dxa"/>
              <w:bottom w:w="90" w:type="dxa"/>
              <w:end w:w="90" w:type="dxa"/>
            </w:tcMar>
          </w:tcPr>
          <w:p>
            <w:r>
              <w:rPr>
                <w:b/>
                <w:color w:val="FFFFFF"/>
                <w:sz w:val="18"/>
              </w:rPr>
              <w:t>Observed information</w:t>
            </w:r>
          </w:p>
        </w:tc>
        <w:tc>
          <w:tcPr>
            <w:tcW w:type="dxa" w:w="3456"/>
            <w:shd w:fill="24364B"/>
            <w:vAlign w:val="center"/>
            <w:tcMar>
              <w:top w:w="90" w:type="dxa"/>
              <w:start w:w="90" w:type="dxa"/>
              <w:bottom w:w="90" w:type="dxa"/>
              <w:end w:w="90" w:type="dxa"/>
            </w:tcMar>
          </w:tcPr>
          <w:p>
            <w:r>
              <w:rPr>
                <w:b/>
                <w:color w:val="FFFFFF"/>
                <w:sz w:val="18"/>
              </w:rPr>
              <w:t>Valuation relevance</w:t>
            </w:r>
          </w:p>
        </w:tc>
      </w:tr>
      <w:tr>
        <w:tc>
          <w:tcPr>
            <w:tcW w:type="dxa" w:w="2592"/>
            <w:vAlign w:val="center"/>
            <w:tcMar>
              <w:top w:w="90" w:type="dxa"/>
              <w:start w:w="90" w:type="dxa"/>
              <w:bottom w:w="90" w:type="dxa"/>
              <w:end w:w="90" w:type="dxa"/>
            </w:tcMar>
          </w:tcPr>
          <w:p>
            <w:pPr>
              <w:spacing w:after="0"/>
            </w:pPr>
            <w:r>
              <w:rPr>
                <w:sz w:val="18"/>
              </w:rPr>
              <w:t>3914 Alexis Park Drive Vernon</w:t>
            </w:r>
          </w:p>
        </w:tc>
        <w:tc>
          <w:tcPr>
            <w:tcW w:type="dxa" w:w="3888"/>
            <w:vAlign w:val="center"/>
            <w:tcMar>
              <w:top w:w="90" w:type="dxa"/>
              <w:start w:w="90" w:type="dxa"/>
              <w:bottom w:w="90" w:type="dxa"/>
              <w:end w:w="90" w:type="dxa"/>
            </w:tcMar>
          </w:tcPr>
          <w:p>
            <w:pPr>
              <w:spacing w:after="0"/>
            </w:pPr>
            <w:r>
              <w:rPr>
                <w:sz w:val="18"/>
              </w:rPr>
              <w:t>1.10 acre medium-density residential site formerly offered at $2,250,000; the brokerage now identifies it as sold, but the sale price is not publicly stated.</w:t>
            </w:r>
          </w:p>
        </w:tc>
        <w:tc>
          <w:tcPr>
            <w:tcW w:type="dxa" w:w="3456"/>
            <w:vAlign w:val="center"/>
            <w:tcMar>
              <w:top w:w="90" w:type="dxa"/>
              <w:start w:w="90" w:type="dxa"/>
              <w:bottom w:w="90" w:type="dxa"/>
              <w:end w:w="90" w:type="dxa"/>
            </w:tcMar>
          </w:tcPr>
          <w:p>
            <w:pPr>
              <w:spacing w:after="0"/>
            </w:pPr>
            <w:r>
              <w:rPr>
                <w:sz w:val="18"/>
              </w:rPr>
              <w:t>The former asking price is an upper boundary only and cannot establish value.</w:t>
            </w:r>
          </w:p>
        </w:tc>
      </w:tr>
      <w:tr>
        <w:tc>
          <w:tcPr>
            <w:tcW w:type="dxa" w:w="2592"/>
            <w:vAlign w:val="center"/>
            <w:tcMar>
              <w:top w:w="90" w:type="dxa"/>
              <w:start w:w="90" w:type="dxa"/>
              <w:bottom w:w="90" w:type="dxa"/>
              <w:end w:w="90" w:type="dxa"/>
            </w:tcMar>
            <w:shd w:fill="F3F6F8"/>
          </w:tcPr>
          <w:p>
            <w:pPr>
              <w:spacing w:after="0"/>
            </w:pPr>
            <w:r>
              <w:rPr>
                <w:sz w:val="18"/>
              </w:rPr>
              <w:t>2003 37 Avenue Vernon</w:t>
            </w:r>
          </w:p>
        </w:tc>
        <w:tc>
          <w:tcPr>
            <w:tcW w:type="dxa" w:w="3888"/>
            <w:vAlign w:val="center"/>
            <w:tcMar>
              <w:top w:w="90" w:type="dxa"/>
              <w:start w:w="90" w:type="dxa"/>
              <w:bottom w:w="90" w:type="dxa"/>
              <w:end w:w="90" w:type="dxa"/>
            </w:tcMar>
            <w:shd w:fill="F3F6F8"/>
          </w:tcPr>
          <w:p>
            <w:pPr>
              <w:spacing w:after="0"/>
            </w:pPr>
            <w:r>
              <w:rPr>
                <w:sz w:val="18"/>
              </w:rPr>
              <w:t>Current multifamily-zoned development-land asking price of approximately $1,799,000.</w:t>
            </w:r>
          </w:p>
        </w:tc>
        <w:tc>
          <w:tcPr>
            <w:tcW w:type="dxa" w:w="3456"/>
            <w:vAlign w:val="center"/>
            <w:tcMar>
              <w:top w:w="90" w:type="dxa"/>
              <w:start w:w="90" w:type="dxa"/>
              <w:bottom w:w="90" w:type="dxa"/>
              <w:end w:w="90" w:type="dxa"/>
            </w:tcMar>
            <w:shd w:fill="F3F6F8"/>
          </w:tcPr>
          <w:p>
            <w:pPr>
              <w:spacing w:after="0"/>
            </w:pPr>
            <w:r>
              <w:rPr>
                <w:sz w:val="18"/>
              </w:rPr>
              <w:t>A listing, not a sale. It supports caution against placing the subject above the mid-$1 million range without stronger approvals.</w:t>
            </w:r>
          </w:p>
        </w:tc>
      </w:tr>
      <w:tr>
        <w:tc>
          <w:tcPr>
            <w:tcW w:type="dxa" w:w="2592"/>
            <w:vAlign w:val="center"/>
            <w:tcMar>
              <w:top w:w="90" w:type="dxa"/>
              <w:start w:w="90" w:type="dxa"/>
              <w:bottom w:w="90" w:type="dxa"/>
              <w:end w:w="90" w:type="dxa"/>
            </w:tcMar>
          </w:tcPr>
          <w:p>
            <w:pPr>
              <w:spacing w:after="0"/>
            </w:pPr>
            <w:r>
              <w:rPr>
                <w:sz w:val="18"/>
              </w:rPr>
              <w:t>North Okanagan resale market July 2026</w:t>
            </w:r>
          </w:p>
        </w:tc>
        <w:tc>
          <w:tcPr>
            <w:tcW w:type="dxa" w:w="3888"/>
            <w:vAlign w:val="center"/>
            <w:tcMar>
              <w:top w:w="90" w:type="dxa"/>
              <w:start w:w="90" w:type="dxa"/>
              <w:bottom w:w="90" w:type="dxa"/>
              <w:end w:w="90" w:type="dxa"/>
            </w:tcMar>
          </w:tcPr>
          <w:p>
            <w:pPr>
              <w:spacing w:after="0"/>
            </w:pPr>
            <w:r>
              <w:rPr>
                <w:sz w:val="18"/>
              </w:rPr>
              <w:t>184 residential sales and approximately $657,890 average price, with units and dollar volume below July 2025.</w:t>
            </w:r>
          </w:p>
        </w:tc>
        <w:tc>
          <w:tcPr>
            <w:tcW w:type="dxa" w:w="3456"/>
            <w:vAlign w:val="center"/>
            <w:tcMar>
              <w:top w:w="90" w:type="dxa"/>
              <w:start w:w="90" w:type="dxa"/>
              <w:bottom w:w="90" w:type="dxa"/>
              <w:end w:w="90" w:type="dxa"/>
            </w:tcMar>
          </w:tcPr>
          <w:p>
            <w:pPr>
              <w:spacing w:after="0"/>
            </w:pPr>
            <w:r>
              <w:rPr>
                <w:sz w:val="18"/>
              </w:rPr>
              <w:t>Confirms softer absorption and supports a conservative land residual.</w:t>
            </w:r>
          </w:p>
        </w:tc>
      </w:tr>
      <w:tr>
        <w:tc>
          <w:tcPr>
            <w:tcW w:type="dxa" w:w="2592"/>
            <w:vAlign w:val="center"/>
            <w:tcMar>
              <w:top w:w="90" w:type="dxa"/>
              <w:start w:w="90" w:type="dxa"/>
              <w:bottom w:w="90" w:type="dxa"/>
              <w:end w:w="90" w:type="dxa"/>
            </w:tcMar>
            <w:shd w:fill="F3F6F8"/>
          </w:tcPr>
          <w:p>
            <w:pPr>
              <w:spacing w:after="0"/>
            </w:pPr>
            <w:r>
              <w:rPr>
                <w:sz w:val="18"/>
              </w:rPr>
              <w:t>North Okanagan townhouse benchmark</w:t>
            </w:r>
          </w:p>
        </w:tc>
        <w:tc>
          <w:tcPr>
            <w:tcW w:type="dxa" w:w="3888"/>
            <w:vAlign w:val="center"/>
            <w:tcMar>
              <w:top w:w="90" w:type="dxa"/>
              <w:start w:w="90" w:type="dxa"/>
              <w:bottom w:w="90" w:type="dxa"/>
              <w:end w:w="90" w:type="dxa"/>
            </w:tcMar>
            <w:shd w:fill="F3F6F8"/>
          </w:tcPr>
          <w:p>
            <w:pPr>
              <w:spacing w:after="0"/>
            </w:pPr>
            <w:r>
              <w:rPr>
                <w:sz w:val="18"/>
              </w:rPr>
              <w:t>Approximately $556,500 in December 2025, reported 6.2 percent above the prior year.</w:t>
            </w:r>
          </w:p>
        </w:tc>
        <w:tc>
          <w:tcPr>
            <w:tcW w:type="dxa" w:w="3456"/>
            <w:vAlign w:val="center"/>
            <w:tcMar>
              <w:top w:w="90" w:type="dxa"/>
              <w:start w:w="90" w:type="dxa"/>
              <w:bottom w:w="90" w:type="dxa"/>
              <w:end w:w="90" w:type="dxa"/>
            </w:tcMar>
            <w:shd w:fill="F3F6F8"/>
          </w:tcPr>
          <w:p>
            <w:pPr>
              <w:spacing w:after="0"/>
            </w:pPr>
            <w:r>
              <w:rPr>
                <w:sz w:val="18"/>
              </w:rPr>
              <w:t>Supports demand for the product while leaving a limited margin for land, hard costs and financing.</w:t>
            </w:r>
          </w:p>
        </w:tc>
      </w:tr>
    </w:tbl>
    <w:p>
      <w:pPr>
        <w:spacing w:after="0"/>
      </w:pPr>
    </w:p>
    <w:p>
      <w:pPr>
        <w:pStyle w:val="Heading1"/>
      </w:pPr>
      <w:r>
        <w:t>Density and Value Sensitivity</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2016"/>
        <w:gridCol w:w="2016"/>
        <w:gridCol w:w="2016"/>
        <w:gridCol w:w="2016"/>
        <w:gridCol w:w="2016"/>
      </w:tblGrid>
      <w:tr>
        <w:tc>
          <w:tcPr>
            <w:tcW w:type="dxa" w:w="1008"/>
            <w:shd w:fill="24364B"/>
            <w:vAlign w:val="center"/>
            <w:tcMar>
              <w:top w:w="90" w:type="dxa"/>
              <w:start w:w="90" w:type="dxa"/>
              <w:bottom w:w="90" w:type="dxa"/>
              <w:end w:w="90" w:type="dxa"/>
            </w:tcMar>
          </w:tcPr>
          <w:p>
            <w:r>
              <w:rPr>
                <w:b/>
                <w:color w:val="FFFFFF"/>
                <w:sz w:val="18"/>
              </w:rPr>
              <w:t>Units</w:t>
            </w:r>
          </w:p>
        </w:tc>
        <w:tc>
          <w:tcPr>
            <w:tcW w:type="dxa" w:w="1584"/>
            <w:shd w:fill="24364B"/>
            <w:vAlign w:val="center"/>
            <w:tcMar>
              <w:top w:w="90" w:type="dxa"/>
              <w:start w:w="90" w:type="dxa"/>
              <w:bottom w:w="90" w:type="dxa"/>
              <w:end w:w="90" w:type="dxa"/>
            </w:tcMar>
          </w:tcPr>
          <w:p>
            <w:r>
              <w:rPr>
                <w:b/>
                <w:color w:val="FFFFFF"/>
                <w:sz w:val="18"/>
              </w:rPr>
              <w:t>Units per acre</w:t>
            </w:r>
          </w:p>
        </w:tc>
        <w:tc>
          <w:tcPr>
            <w:tcW w:type="dxa" w:w="2448"/>
            <w:shd w:fill="24364B"/>
            <w:vAlign w:val="center"/>
            <w:tcMar>
              <w:top w:w="90" w:type="dxa"/>
              <w:start w:w="90" w:type="dxa"/>
              <w:bottom w:w="90" w:type="dxa"/>
              <w:end w:w="90" w:type="dxa"/>
            </w:tcMar>
          </w:tcPr>
          <w:p>
            <w:r>
              <w:rPr>
                <w:b/>
                <w:color w:val="FFFFFF"/>
                <w:sz w:val="18"/>
              </w:rPr>
              <w:t>$55,000 per unit</w:t>
            </w:r>
          </w:p>
        </w:tc>
        <w:tc>
          <w:tcPr>
            <w:tcW w:type="dxa" w:w="2448"/>
            <w:shd w:fill="24364B"/>
            <w:vAlign w:val="center"/>
            <w:tcMar>
              <w:top w:w="90" w:type="dxa"/>
              <w:start w:w="90" w:type="dxa"/>
              <w:bottom w:w="90" w:type="dxa"/>
              <w:end w:w="90" w:type="dxa"/>
            </w:tcMar>
          </w:tcPr>
          <w:p>
            <w:r>
              <w:rPr>
                <w:b/>
                <w:color w:val="FFFFFF"/>
                <w:sz w:val="18"/>
              </w:rPr>
              <w:t>$60,000 per unit</w:t>
            </w:r>
          </w:p>
        </w:tc>
        <w:tc>
          <w:tcPr>
            <w:tcW w:type="dxa" w:w="2448"/>
            <w:shd w:fill="24364B"/>
            <w:vAlign w:val="center"/>
            <w:tcMar>
              <w:top w:w="90" w:type="dxa"/>
              <w:start w:w="90" w:type="dxa"/>
              <w:bottom w:w="90" w:type="dxa"/>
              <w:end w:w="90" w:type="dxa"/>
            </w:tcMar>
          </w:tcPr>
          <w:p>
            <w:r>
              <w:rPr>
                <w:b/>
                <w:color w:val="FFFFFF"/>
                <w:sz w:val="18"/>
              </w:rPr>
              <w:t>$65,000 per unit</w:t>
            </w:r>
          </w:p>
        </w:tc>
      </w:tr>
      <w:tr>
        <w:tc>
          <w:tcPr>
            <w:tcW w:type="dxa" w:w="1008"/>
            <w:vAlign w:val="center"/>
            <w:tcMar>
              <w:top w:w="90" w:type="dxa"/>
              <w:start w:w="90" w:type="dxa"/>
              <w:bottom w:w="90" w:type="dxa"/>
              <w:end w:w="90" w:type="dxa"/>
            </w:tcMar>
          </w:tcPr>
          <w:p>
            <w:pPr>
              <w:spacing w:after="0"/>
            </w:pPr>
            <w:r>
              <w:rPr>
                <w:sz w:val="18"/>
              </w:rPr>
              <w:t>22</w:t>
            </w:r>
          </w:p>
        </w:tc>
        <w:tc>
          <w:tcPr>
            <w:tcW w:type="dxa" w:w="1584"/>
            <w:vAlign w:val="center"/>
            <w:tcMar>
              <w:top w:w="90" w:type="dxa"/>
              <w:start w:w="90" w:type="dxa"/>
              <w:bottom w:w="90" w:type="dxa"/>
              <w:end w:w="90" w:type="dxa"/>
            </w:tcMar>
          </w:tcPr>
          <w:p>
            <w:pPr>
              <w:spacing w:after="0"/>
            </w:pPr>
            <w:r>
              <w:rPr>
                <w:sz w:val="18"/>
              </w:rPr>
              <w:t>17.6</w:t>
            </w:r>
          </w:p>
        </w:tc>
        <w:tc>
          <w:tcPr>
            <w:tcW w:type="dxa" w:w="2448"/>
            <w:vAlign w:val="center"/>
            <w:tcMar>
              <w:top w:w="90" w:type="dxa"/>
              <w:start w:w="90" w:type="dxa"/>
              <w:bottom w:w="90" w:type="dxa"/>
              <w:end w:w="90" w:type="dxa"/>
            </w:tcMar>
          </w:tcPr>
          <w:p>
            <w:pPr>
              <w:spacing w:after="0"/>
            </w:pPr>
            <w:r>
              <w:rPr>
                <w:sz w:val="18"/>
              </w:rPr>
              <w:t>$1,210,000</w:t>
            </w:r>
          </w:p>
        </w:tc>
        <w:tc>
          <w:tcPr>
            <w:tcW w:type="dxa" w:w="2448"/>
            <w:vAlign w:val="center"/>
            <w:tcMar>
              <w:top w:w="90" w:type="dxa"/>
              <w:start w:w="90" w:type="dxa"/>
              <w:bottom w:w="90" w:type="dxa"/>
              <w:end w:w="90" w:type="dxa"/>
            </w:tcMar>
          </w:tcPr>
          <w:p>
            <w:pPr>
              <w:spacing w:after="0"/>
            </w:pPr>
            <w:r>
              <w:rPr>
                <w:sz w:val="18"/>
              </w:rPr>
              <w:t>$1,320,000</w:t>
            </w:r>
          </w:p>
        </w:tc>
        <w:tc>
          <w:tcPr>
            <w:tcW w:type="dxa" w:w="2448"/>
            <w:vAlign w:val="center"/>
            <w:tcMar>
              <w:top w:w="90" w:type="dxa"/>
              <w:start w:w="90" w:type="dxa"/>
              <w:bottom w:w="90" w:type="dxa"/>
              <w:end w:w="90" w:type="dxa"/>
            </w:tcMar>
          </w:tcPr>
          <w:p>
            <w:pPr>
              <w:spacing w:after="0"/>
            </w:pPr>
            <w:r>
              <w:rPr>
                <w:sz w:val="18"/>
              </w:rPr>
              <w:t>$1,430,000</w:t>
            </w:r>
          </w:p>
        </w:tc>
      </w:tr>
      <w:tr>
        <w:tc>
          <w:tcPr>
            <w:tcW w:type="dxa" w:w="1008"/>
            <w:vAlign w:val="center"/>
            <w:tcMar>
              <w:top w:w="90" w:type="dxa"/>
              <w:start w:w="90" w:type="dxa"/>
              <w:bottom w:w="90" w:type="dxa"/>
              <w:end w:w="90" w:type="dxa"/>
            </w:tcMar>
            <w:shd w:fill="F3F6F8"/>
          </w:tcPr>
          <w:p>
            <w:pPr>
              <w:spacing w:after="0"/>
            </w:pPr>
            <w:r>
              <w:rPr>
                <w:sz w:val="18"/>
              </w:rPr>
              <w:t>23</w:t>
            </w:r>
          </w:p>
        </w:tc>
        <w:tc>
          <w:tcPr>
            <w:tcW w:type="dxa" w:w="1584"/>
            <w:vAlign w:val="center"/>
            <w:tcMar>
              <w:top w:w="90" w:type="dxa"/>
              <w:start w:w="90" w:type="dxa"/>
              <w:bottom w:w="90" w:type="dxa"/>
              <w:end w:w="90" w:type="dxa"/>
            </w:tcMar>
            <w:shd w:fill="F3F6F8"/>
          </w:tcPr>
          <w:p>
            <w:pPr>
              <w:spacing w:after="0"/>
            </w:pPr>
            <w:r>
              <w:rPr>
                <w:sz w:val="18"/>
              </w:rPr>
              <w:t>18.4</w:t>
            </w:r>
          </w:p>
        </w:tc>
        <w:tc>
          <w:tcPr>
            <w:tcW w:type="dxa" w:w="2448"/>
            <w:vAlign w:val="center"/>
            <w:tcMar>
              <w:top w:w="90" w:type="dxa"/>
              <w:start w:w="90" w:type="dxa"/>
              <w:bottom w:w="90" w:type="dxa"/>
              <w:end w:w="90" w:type="dxa"/>
            </w:tcMar>
            <w:shd w:fill="F3F6F8"/>
          </w:tcPr>
          <w:p>
            <w:pPr>
              <w:spacing w:after="0"/>
            </w:pPr>
            <w:r>
              <w:rPr>
                <w:sz w:val="18"/>
              </w:rPr>
              <w:t>$1,265,000</w:t>
            </w:r>
          </w:p>
        </w:tc>
        <w:tc>
          <w:tcPr>
            <w:tcW w:type="dxa" w:w="2448"/>
            <w:vAlign w:val="center"/>
            <w:tcMar>
              <w:top w:w="90" w:type="dxa"/>
              <w:start w:w="90" w:type="dxa"/>
              <w:bottom w:w="90" w:type="dxa"/>
              <w:end w:w="90" w:type="dxa"/>
            </w:tcMar>
            <w:shd w:fill="F3F6F8"/>
          </w:tcPr>
          <w:p>
            <w:pPr>
              <w:spacing w:after="0"/>
            </w:pPr>
            <w:r>
              <w:rPr>
                <w:sz w:val="18"/>
              </w:rPr>
              <w:t>$1,380,000</w:t>
            </w:r>
          </w:p>
        </w:tc>
        <w:tc>
          <w:tcPr>
            <w:tcW w:type="dxa" w:w="2448"/>
            <w:vAlign w:val="center"/>
            <w:tcMar>
              <w:top w:w="90" w:type="dxa"/>
              <w:start w:w="90" w:type="dxa"/>
              <w:bottom w:w="90" w:type="dxa"/>
              <w:end w:w="90" w:type="dxa"/>
            </w:tcMar>
            <w:shd w:fill="F3F6F8"/>
          </w:tcPr>
          <w:p>
            <w:pPr>
              <w:spacing w:after="0"/>
            </w:pPr>
            <w:r>
              <w:rPr>
                <w:sz w:val="18"/>
              </w:rPr>
              <w:t>$1,495,000</w:t>
            </w:r>
          </w:p>
        </w:tc>
      </w:tr>
      <w:tr>
        <w:tc>
          <w:tcPr>
            <w:tcW w:type="dxa" w:w="1008"/>
            <w:vAlign w:val="center"/>
            <w:tcMar>
              <w:top w:w="90" w:type="dxa"/>
              <w:start w:w="90" w:type="dxa"/>
              <w:bottom w:w="90" w:type="dxa"/>
              <w:end w:w="90" w:type="dxa"/>
            </w:tcMar>
          </w:tcPr>
          <w:p>
            <w:pPr>
              <w:spacing w:after="0"/>
            </w:pPr>
            <w:r>
              <w:rPr>
                <w:sz w:val="18"/>
              </w:rPr>
              <w:t>24</w:t>
            </w:r>
          </w:p>
        </w:tc>
        <w:tc>
          <w:tcPr>
            <w:tcW w:type="dxa" w:w="1584"/>
            <w:vAlign w:val="center"/>
            <w:tcMar>
              <w:top w:w="90" w:type="dxa"/>
              <w:start w:w="90" w:type="dxa"/>
              <w:bottom w:w="90" w:type="dxa"/>
              <w:end w:w="90" w:type="dxa"/>
            </w:tcMar>
          </w:tcPr>
          <w:p>
            <w:pPr>
              <w:spacing w:after="0"/>
            </w:pPr>
            <w:r>
              <w:rPr>
                <w:sz w:val="18"/>
              </w:rPr>
              <w:t>19.2</w:t>
            </w:r>
          </w:p>
        </w:tc>
        <w:tc>
          <w:tcPr>
            <w:tcW w:type="dxa" w:w="2448"/>
            <w:vAlign w:val="center"/>
            <w:tcMar>
              <w:top w:w="90" w:type="dxa"/>
              <w:start w:w="90" w:type="dxa"/>
              <w:bottom w:w="90" w:type="dxa"/>
              <w:end w:w="90" w:type="dxa"/>
            </w:tcMar>
          </w:tcPr>
          <w:p>
            <w:pPr>
              <w:spacing w:after="0"/>
            </w:pPr>
            <w:r>
              <w:rPr>
                <w:sz w:val="18"/>
              </w:rPr>
              <w:t>$1,320,000</w:t>
            </w:r>
          </w:p>
        </w:tc>
        <w:tc>
          <w:tcPr>
            <w:tcW w:type="dxa" w:w="2448"/>
            <w:vAlign w:val="center"/>
            <w:tcMar>
              <w:top w:w="90" w:type="dxa"/>
              <w:start w:w="90" w:type="dxa"/>
              <w:bottom w:w="90" w:type="dxa"/>
              <w:end w:w="90" w:type="dxa"/>
            </w:tcMar>
          </w:tcPr>
          <w:p>
            <w:pPr>
              <w:spacing w:after="0"/>
            </w:pPr>
            <w:r>
              <w:rPr>
                <w:sz w:val="18"/>
              </w:rPr>
              <w:t>$1,440,000</w:t>
            </w:r>
          </w:p>
        </w:tc>
        <w:tc>
          <w:tcPr>
            <w:tcW w:type="dxa" w:w="2448"/>
            <w:vAlign w:val="center"/>
            <w:tcMar>
              <w:top w:w="90" w:type="dxa"/>
              <w:start w:w="90" w:type="dxa"/>
              <w:bottom w:w="90" w:type="dxa"/>
              <w:end w:w="90" w:type="dxa"/>
            </w:tcMar>
          </w:tcPr>
          <w:p>
            <w:pPr>
              <w:spacing w:after="0"/>
            </w:pPr>
            <w:r>
              <w:rPr>
                <w:sz w:val="18"/>
              </w:rPr>
              <w:t>$1,560,000</w:t>
            </w:r>
          </w:p>
        </w:tc>
      </w:tr>
      <w:tr>
        <w:tc>
          <w:tcPr>
            <w:tcW w:type="dxa" w:w="1008"/>
            <w:vAlign w:val="center"/>
            <w:tcMar>
              <w:top w:w="90" w:type="dxa"/>
              <w:start w:w="90" w:type="dxa"/>
              <w:bottom w:w="90" w:type="dxa"/>
              <w:end w:w="90" w:type="dxa"/>
            </w:tcMar>
            <w:shd w:fill="F3F6F8"/>
          </w:tcPr>
          <w:p>
            <w:pPr>
              <w:spacing w:after="0"/>
            </w:pPr>
            <w:r>
              <w:rPr>
                <w:sz w:val="18"/>
              </w:rPr>
              <w:t>25</w:t>
            </w:r>
          </w:p>
        </w:tc>
        <w:tc>
          <w:tcPr>
            <w:tcW w:type="dxa" w:w="1584"/>
            <w:vAlign w:val="center"/>
            <w:tcMar>
              <w:top w:w="90" w:type="dxa"/>
              <w:start w:w="90" w:type="dxa"/>
              <w:bottom w:w="90" w:type="dxa"/>
              <w:end w:w="90" w:type="dxa"/>
            </w:tcMar>
            <w:shd w:fill="F3F6F8"/>
          </w:tcPr>
          <w:p>
            <w:pPr>
              <w:spacing w:after="0"/>
            </w:pPr>
            <w:r>
              <w:rPr>
                <w:sz w:val="18"/>
              </w:rPr>
              <w:t>20.0</w:t>
            </w:r>
          </w:p>
        </w:tc>
        <w:tc>
          <w:tcPr>
            <w:tcW w:type="dxa" w:w="2448"/>
            <w:vAlign w:val="center"/>
            <w:tcMar>
              <w:top w:w="90" w:type="dxa"/>
              <w:start w:w="90" w:type="dxa"/>
              <w:bottom w:w="90" w:type="dxa"/>
              <w:end w:w="90" w:type="dxa"/>
            </w:tcMar>
            <w:shd w:fill="F3F6F8"/>
          </w:tcPr>
          <w:p>
            <w:pPr>
              <w:spacing w:after="0"/>
            </w:pPr>
            <w:r>
              <w:rPr>
                <w:sz w:val="18"/>
              </w:rPr>
              <w:t>$1,375,000</w:t>
            </w:r>
          </w:p>
        </w:tc>
        <w:tc>
          <w:tcPr>
            <w:tcW w:type="dxa" w:w="2448"/>
            <w:vAlign w:val="center"/>
            <w:tcMar>
              <w:top w:w="90" w:type="dxa"/>
              <w:start w:w="90" w:type="dxa"/>
              <w:bottom w:w="90" w:type="dxa"/>
              <w:end w:w="90" w:type="dxa"/>
            </w:tcMar>
            <w:shd w:fill="F3F6F8"/>
          </w:tcPr>
          <w:p>
            <w:pPr>
              <w:spacing w:after="0"/>
            </w:pPr>
            <w:r>
              <w:rPr>
                <w:sz w:val="18"/>
              </w:rPr>
              <w:t>$1,500,000</w:t>
            </w:r>
          </w:p>
        </w:tc>
        <w:tc>
          <w:tcPr>
            <w:tcW w:type="dxa" w:w="2448"/>
            <w:vAlign w:val="center"/>
            <w:tcMar>
              <w:top w:w="90" w:type="dxa"/>
              <w:start w:w="90" w:type="dxa"/>
              <w:bottom w:w="90" w:type="dxa"/>
              <w:end w:w="90" w:type="dxa"/>
            </w:tcMar>
            <w:shd w:fill="F3F6F8"/>
          </w:tcPr>
          <w:p>
            <w:pPr>
              <w:spacing w:after="0"/>
            </w:pPr>
            <w:r>
              <w:rPr>
                <w:sz w:val="18"/>
              </w:rPr>
              <w:t>$1,625,000</w:t>
            </w:r>
          </w:p>
        </w:tc>
      </w:tr>
      <w:tr>
        <w:tc>
          <w:tcPr>
            <w:tcW w:type="dxa" w:w="1008"/>
            <w:vAlign w:val="center"/>
            <w:tcMar>
              <w:top w:w="90" w:type="dxa"/>
              <w:start w:w="90" w:type="dxa"/>
              <w:bottom w:w="90" w:type="dxa"/>
              <w:end w:w="90" w:type="dxa"/>
            </w:tcMar>
          </w:tcPr>
          <w:p>
            <w:pPr>
              <w:spacing w:after="0"/>
            </w:pPr>
            <w:r>
              <w:rPr>
                <w:sz w:val="18"/>
              </w:rPr>
              <w:t>26</w:t>
            </w:r>
          </w:p>
        </w:tc>
        <w:tc>
          <w:tcPr>
            <w:tcW w:type="dxa" w:w="1584"/>
            <w:vAlign w:val="center"/>
            <w:tcMar>
              <w:top w:w="90" w:type="dxa"/>
              <w:start w:w="90" w:type="dxa"/>
              <w:bottom w:w="90" w:type="dxa"/>
              <w:end w:w="90" w:type="dxa"/>
            </w:tcMar>
          </w:tcPr>
          <w:p>
            <w:pPr>
              <w:spacing w:after="0"/>
            </w:pPr>
            <w:r>
              <w:rPr>
                <w:sz w:val="18"/>
              </w:rPr>
              <w:t>20.8</w:t>
            </w:r>
          </w:p>
        </w:tc>
        <w:tc>
          <w:tcPr>
            <w:tcW w:type="dxa" w:w="2448"/>
            <w:vAlign w:val="center"/>
            <w:tcMar>
              <w:top w:w="90" w:type="dxa"/>
              <w:start w:w="90" w:type="dxa"/>
              <w:bottom w:w="90" w:type="dxa"/>
              <w:end w:w="90" w:type="dxa"/>
            </w:tcMar>
          </w:tcPr>
          <w:p>
            <w:pPr>
              <w:spacing w:after="0"/>
            </w:pPr>
            <w:r>
              <w:rPr>
                <w:sz w:val="18"/>
              </w:rPr>
              <w:t>$1,430,000</w:t>
            </w:r>
          </w:p>
        </w:tc>
        <w:tc>
          <w:tcPr>
            <w:tcW w:type="dxa" w:w="2448"/>
            <w:vAlign w:val="center"/>
            <w:tcMar>
              <w:top w:w="90" w:type="dxa"/>
              <w:start w:w="90" w:type="dxa"/>
              <w:bottom w:w="90" w:type="dxa"/>
              <w:end w:w="90" w:type="dxa"/>
            </w:tcMar>
          </w:tcPr>
          <w:p>
            <w:pPr>
              <w:spacing w:after="0"/>
            </w:pPr>
            <w:r>
              <w:rPr>
                <w:sz w:val="18"/>
              </w:rPr>
              <w:t>$1,560,000</w:t>
            </w:r>
          </w:p>
        </w:tc>
        <w:tc>
          <w:tcPr>
            <w:tcW w:type="dxa" w:w="2448"/>
            <w:vAlign w:val="center"/>
            <w:tcMar>
              <w:top w:w="90" w:type="dxa"/>
              <w:start w:w="90" w:type="dxa"/>
              <w:bottom w:w="90" w:type="dxa"/>
              <w:end w:w="90" w:type="dxa"/>
            </w:tcMar>
          </w:tcPr>
          <w:p>
            <w:pPr>
              <w:spacing w:after="0"/>
            </w:pPr>
            <w:r>
              <w:rPr>
                <w:sz w:val="18"/>
              </w:rPr>
              <w:t>$1,690,000</w:t>
            </w:r>
          </w:p>
        </w:tc>
      </w:tr>
      <w:tr>
        <w:tc>
          <w:tcPr>
            <w:tcW w:type="dxa" w:w="1008"/>
            <w:vAlign w:val="center"/>
            <w:tcMar>
              <w:top w:w="90" w:type="dxa"/>
              <w:start w:w="90" w:type="dxa"/>
              <w:bottom w:w="90" w:type="dxa"/>
              <w:end w:w="90" w:type="dxa"/>
            </w:tcMar>
            <w:shd w:fill="F3F6F8"/>
          </w:tcPr>
          <w:p>
            <w:pPr>
              <w:spacing w:after="0"/>
            </w:pPr>
            <w:r>
              <w:rPr>
                <w:sz w:val="18"/>
              </w:rPr>
              <w:t>28</w:t>
            </w:r>
          </w:p>
        </w:tc>
        <w:tc>
          <w:tcPr>
            <w:tcW w:type="dxa" w:w="1584"/>
            <w:vAlign w:val="center"/>
            <w:tcMar>
              <w:top w:w="90" w:type="dxa"/>
              <w:start w:w="90" w:type="dxa"/>
              <w:bottom w:w="90" w:type="dxa"/>
              <w:end w:w="90" w:type="dxa"/>
            </w:tcMar>
            <w:shd w:fill="F3F6F8"/>
          </w:tcPr>
          <w:p>
            <w:pPr>
              <w:spacing w:after="0"/>
            </w:pPr>
            <w:r>
              <w:rPr>
                <w:sz w:val="18"/>
              </w:rPr>
              <w:t>22.4</w:t>
            </w:r>
          </w:p>
        </w:tc>
        <w:tc>
          <w:tcPr>
            <w:tcW w:type="dxa" w:w="2448"/>
            <w:vAlign w:val="center"/>
            <w:tcMar>
              <w:top w:w="90" w:type="dxa"/>
              <w:start w:w="90" w:type="dxa"/>
              <w:bottom w:w="90" w:type="dxa"/>
              <w:end w:w="90" w:type="dxa"/>
            </w:tcMar>
            <w:shd w:fill="F3F6F8"/>
          </w:tcPr>
          <w:p>
            <w:pPr>
              <w:spacing w:after="0"/>
            </w:pPr>
            <w:r>
              <w:rPr>
                <w:sz w:val="18"/>
              </w:rPr>
              <w:t>$1,540,000</w:t>
            </w:r>
          </w:p>
        </w:tc>
        <w:tc>
          <w:tcPr>
            <w:tcW w:type="dxa" w:w="2448"/>
            <w:vAlign w:val="center"/>
            <w:tcMar>
              <w:top w:w="90" w:type="dxa"/>
              <w:start w:w="90" w:type="dxa"/>
              <w:bottom w:w="90" w:type="dxa"/>
              <w:end w:w="90" w:type="dxa"/>
            </w:tcMar>
            <w:shd w:fill="F3F6F8"/>
          </w:tcPr>
          <w:p>
            <w:pPr>
              <w:spacing w:after="0"/>
            </w:pPr>
            <w:r>
              <w:rPr>
                <w:sz w:val="18"/>
              </w:rPr>
              <w:t>$1,680,000</w:t>
            </w:r>
          </w:p>
        </w:tc>
        <w:tc>
          <w:tcPr>
            <w:tcW w:type="dxa" w:w="2448"/>
            <w:vAlign w:val="center"/>
            <w:tcMar>
              <w:top w:w="90" w:type="dxa"/>
              <w:start w:w="90" w:type="dxa"/>
              <w:bottom w:w="90" w:type="dxa"/>
              <w:end w:w="90" w:type="dxa"/>
            </w:tcMar>
            <w:shd w:fill="F3F6F8"/>
          </w:tcPr>
          <w:p>
            <w:pPr>
              <w:spacing w:after="0"/>
            </w:pPr>
            <w:r>
              <w:rPr>
                <w:sz w:val="18"/>
              </w:rPr>
              <w:t>$1,820,000</w:t>
            </w:r>
          </w:p>
        </w:tc>
      </w:tr>
      <w:tr>
        <w:tc>
          <w:tcPr>
            <w:tcW w:type="dxa" w:w="1008"/>
            <w:vAlign w:val="center"/>
            <w:tcMar>
              <w:top w:w="90" w:type="dxa"/>
              <w:start w:w="90" w:type="dxa"/>
              <w:bottom w:w="90" w:type="dxa"/>
              <w:end w:w="90" w:type="dxa"/>
            </w:tcMar>
          </w:tcPr>
          <w:p>
            <w:pPr>
              <w:spacing w:after="0"/>
            </w:pPr>
            <w:r>
              <w:rPr>
                <w:sz w:val="18"/>
              </w:rPr>
              <w:t>29</w:t>
            </w:r>
          </w:p>
        </w:tc>
        <w:tc>
          <w:tcPr>
            <w:tcW w:type="dxa" w:w="1584"/>
            <w:vAlign w:val="center"/>
            <w:tcMar>
              <w:top w:w="90" w:type="dxa"/>
              <w:start w:w="90" w:type="dxa"/>
              <w:bottom w:w="90" w:type="dxa"/>
              <w:end w:w="90" w:type="dxa"/>
            </w:tcMar>
          </w:tcPr>
          <w:p>
            <w:pPr>
              <w:spacing w:after="0"/>
            </w:pPr>
            <w:r>
              <w:rPr>
                <w:sz w:val="18"/>
              </w:rPr>
              <w:t>23.2</w:t>
            </w:r>
          </w:p>
        </w:tc>
        <w:tc>
          <w:tcPr>
            <w:tcW w:type="dxa" w:w="2448"/>
            <w:vAlign w:val="center"/>
            <w:tcMar>
              <w:top w:w="90" w:type="dxa"/>
              <w:start w:w="90" w:type="dxa"/>
              <w:bottom w:w="90" w:type="dxa"/>
              <w:end w:w="90" w:type="dxa"/>
            </w:tcMar>
          </w:tcPr>
          <w:p>
            <w:pPr>
              <w:spacing w:after="0"/>
            </w:pPr>
            <w:r>
              <w:rPr>
                <w:sz w:val="18"/>
              </w:rPr>
              <w:t>$1,595,000</w:t>
            </w:r>
          </w:p>
        </w:tc>
        <w:tc>
          <w:tcPr>
            <w:tcW w:type="dxa" w:w="2448"/>
            <w:vAlign w:val="center"/>
            <w:tcMar>
              <w:top w:w="90" w:type="dxa"/>
              <w:start w:w="90" w:type="dxa"/>
              <w:bottom w:w="90" w:type="dxa"/>
              <w:end w:w="90" w:type="dxa"/>
            </w:tcMar>
          </w:tcPr>
          <w:p>
            <w:pPr>
              <w:spacing w:after="0"/>
            </w:pPr>
            <w:r>
              <w:rPr>
                <w:sz w:val="18"/>
              </w:rPr>
              <w:t>$1,740,000</w:t>
            </w:r>
          </w:p>
        </w:tc>
        <w:tc>
          <w:tcPr>
            <w:tcW w:type="dxa" w:w="2448"/>
            <w:vAlign w:val="center"/>
            <w:tcMar>
              <w:top w:w="90" w:type="dxa"/>
              <w:start w:w="90" w:type="dxa"/>
              <w:bottom w:w="90" w:type="dxa"/>
              <w:end w:w="90" w:type="dxa"/>
            </w:tcMar>
          </w:tcPr>
          <w:p>
            <w:pPr>
              <w:spacing w:after="0"/>
            </w:pPr>
            <w:r>
              <w:rPr>
                <w:sz w:val="18"/>
              </w:rPr>
              <w:t>$1,885,000</w:t>
            </w:r>
          </w:p>
        </w:tc>
      </w:tr>
      <w:tr>
        <w:tc>
          <w:tcPr>
            <w:tcW w:type="dxa" w:w="1008"/>
            <w:vAlign w:val="center"/>
            <w:tcMar>
              <w:top w:w="90" w:type="dxa"/>
              <w:start w:w="90" w:type="dxa"/>
              <w:bottom w:w="90" w:type="dxa"/>
              <w:end w:w="90" w:type="dxa"/>
            </w:tcMar>
            <w:shd w:fill="F3F6F8"/>
          </w:tcPr>
          <w:p>
            <w:pPr>
              <w:spacing w:after="0"/>
            </w:pPr>
            <w:r>
              <w:rPr>
                <w:sz w:val="18"/>
              </w:rPr>
              <w:t>30</w:t>
            </w:r>
          </w:p>
        </w:tc>
        <w:tc>
          <w:tcPr>
            <w:tcW w:type="dxa" w:w="1584"/>
            <w:vAlign w:val="center"/>
            <w:tcMar>
              <w:top w:w="90" w:type="dxa"/>
              <w:start w:w="90" w:type="dxa"/>
              <w:bottom w:w="90" w:type="dxa"/>
              <w:end w:w="90" w:type="dxa"/>
            </w:tcMar>
            <w:shd w:fill="F3F6F8"/>
          </w:tcPr>
          <w:p>
            <w:pPr>
              <w:spacing w:after="0"/>
            </w:pPr>
            <w:r>
              <w:rPr>
                <w:sz w:val="18"/>
              </w:rPr>
              <w:t>24.0</w:t>
            </w:r>
          </w:p>
        </w:tc>
        <w:tc>
          <w:tcPr>
            <w:tcW w:type="dxa" w:w="2448"/>
            <w:vAlign w:val="center"/>
            <w:tcMar>
              <w:top w:w="90" w:type="dxa"/>
              <w:start w:w="90" w:type="dxa"/>
              <w:bottom w:w="90" w:type="dxa"/>
              <w:end w:w="90" w:type="dxa"/>
            </w:tcMar>
            <w:shd w:fill="F3F6F8"/>
          </w:tcPr>
          <w:p>
            <w:pPr>
              <w:spacing w:after="0"/>
            </w:pPr>
            <w:r>
              <w:rPr>
                <w:sz w:val="18"/>
              </w:rPr>
              <w:t>$1,650,000</w:t>
            </w:r>
          </w:p>
        </w:tc>
        <w:tc>
          <w:tcPr>
            <w:tcW w:type="dxa" w:w="2448"/>
            <w:vAlign w:val="center"/>
            <w:tcMar>
              <w:top w:w="90" w:type="dxa"/>
              <w:start w:w="90" w:type="dxa"/>
              <w:bottom w:w="90" w:type="dxa"/>
              <w:end w:w="90" w:type="dxa"/>
            </w:tcMar>
            <w:shd w:fill="F3F6F8"/>
          </w:tcPr>
          <w:p>
            <w:pPr>
              <w:spacing w:after="0"/>
            </w:pPr>
            <w:r>
              <w:rPr>
                <w:sz w:val="18"/>
              </w:rPr>
              <w:t>$1,800,000</w:t>
            </w:r>
          </w:p>
        </w:tc>
        <w:tc>
          <w:tcPr>
            <w:tcW w:type="dxa" w:w="2448"/>
            <w:vAlign w:val="center"/>
            <w:tcMar>
              <w:top w:w="90" w:type="dxa"/>
              <w:start w:w="90" w:type="dxa"/>
              <w:bottom w:w="90" w:type="dxa"/>
              <w:end w:w="90" w:type="dxa"/>
            </w:tcMar>
            <w:shd w:fill="F3F6F8"/>
          </w:tcPr>
          <w:p>
            <w:pPr>
              <w:spacing w:after="0"/>
            </w:pPr>
            <w:r>
              <w:rPr>
                <w:sz w:val="18"/>
              </w:rPr>
              <w:t>$1,950,000</w:t>
            </w:r>
          </w:p>
        </w:tc>
      </w:tr>
    </w:tbl>
    <w:p>
      <w:pPr>
        <w:spacing w:after="0"/>
      </w:pPr>
    </w:p>
    <w:p>
      <w:r>
        <w:t>The 28 to 30 unit rows illustrate value after stronger density certainty. They should not be treated as present market value merely because the zoning formula permits up to approximately 30 units. A purchaser will price the risk that parking, fire access, landscaping, amenity area, drainage, geotechnical requirements and retaining walls reduce the final yield.</w:t>
      </w:r>
    </w:p>
    <w:p>
      <w:pPr>
        <w:pStyle w:val="Heading1"/>
      </w:pPr>
      <w:r>
        <w:t>Adjustment Analysis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360"/>
        <w:gridCol w:w="3360"/>
        <w:gridCol w:w="3360"/>
      </w:tblGrid>
      <w:tr>
        <w:tc>
          <w:tcPr>
            <w:tcW w:type="dxa" w:w="2880"/>
            <w:shd w:fill="24364B"/>
            <w:vAlign w:val="center"/>
            <w:tcMar>
              <w:top w:w="90" w:type="dxa"/>
              <w:start w:w="90" w:type="dxa"/>
              <w:bottom w:w="90" w:type="dxa"/>
              <w:end w:w="90" w:type="dxa"/>
            </w:tcMar>
          </w:tcPr>
          <w:p>
            <w:r>
              <w:rPr>
                <w:b/>
                <w:color w:val="FFFFFF"/>
                <w:sz w:val="18"/>
              </w:rPr>
              <w:t>Factor</w:t>
            </w:r>
          </w:p>
        </w:tc>
        <w:tc>
          <w:tcPr>
            <w:tcW w:type="dxa" w:w="1728"/>
            <w:shd w:fill="24364B"/>
            <w:vAlign w:val="center"/>
            <w:tcMar>
              <w:top w:w="90" w:type="dxa"/>
              <w:start w:w="90" w:type="dxa"/>
              <w:bottom w:w="90" w:type="dxa"/>
              <w:end w:w="90" w:type="dxa"/>
            </w:tcMar>
          </w:tcPr>
          <w:p>
            <w:r>
              <w:rPr>
                <w:b/>
                <w:color w:val="FFFFFF"/>
                <w:sz w:val="18"/>
              </w:rPr>
              <w:t>Effect on value</w:t>
            </w:r>
          </w:p>
        </w:tc>
        <w:tc>
          <w:tcPr>
            <w:tcW w:type="dxa" w:w="5616"/>
            <w:shd w:fill="24364B"/>
            <w:vAlign w:val="center"/>
            <w:tcMar>
              <w:top w:w="90" w:type="dxa"/>
              <w:start w:w="90" w:type="dxa"/>
              <w:bottom w:w="90" w:type="dxa"/>
              <w:end w:w="90" w:type="dxa"/>
            </w:tcMar>
          </w:tcPr>
          <w:p>
            <w:r>
              <w:rPr>
                <w:b/>
                <w:color w:val="FFFFFF"/>
                <w:sz w:val="18"/>
              </w:rPr>
              <w:t>Reason</w:t>
            </w:r>
          </w:p>
        </w:tc>
      </w:tr>
      <w:tr>
        <w:tc>
          <w:tcPr>
            <w:tcW w:type="dxa" w:w="2880"/>
            <w:vAlign w:val="center"/>
            <w:tcMar>
              <w:top w:w="90" w:type="dxa"/>
              <w:start w:w="90" w:type="dxa"/>
              <w:bottom w:w="90" w:type="dxa"/>
              <w:end w:w="90" w:type="dxa"/>
            </w:tcMar>
          </w:tcPr>
          <w:p>
            <w:pPr>
              <w:spacing w:after="0"/>
            </w:pPr>
            <w:r>
              <w:rPr>
                <w:sz w:val="18"/>
              </w:rPr>
              <w:t>MUS density potential</w:t>
            </w:r>
          </w:p>
        </w:tc>
        <w:tc>
          <w:tcPr>
            <w:tcW w:type="dxa" w:w="1728"/>
            <w:vAlign w:val="center"/>
            <w:tcMar>
              <w:top w:w="90" w:type="dxa"/>
              <w:start w:w="90" w:type="dxa"/>
              <w:bottom w:w="90" w:type="dxa"/>
              <w:end w:w="90" w:type="dxa"/>
            </w:tcMar>
          </w:tcPr>
          <w:p>
            <w:pPr>
              <w:spacing w:after="0"/>
            </w:pPr>
            <w:r>
              <w:rPr>
                <w:sz w:val="18"/>
              </w:rPr>
              <w:t>Positive</w:t>
            </w:r>
          </w:p>
        </w:tc>
        <w:tc>
          <w:tcPr>
            <w:tcW w:type="dxa" w:w="5616"/>
            <w:vAlign w:val="center"/>
            <w:tcMar>
              <w:top w:w="90" w:type="dxa"/>
              <w:start w:w="90" w:type="dxa"/>
              <w:bottom w:w="90" w:type="dxa"/>
              <w:end w:w="90" w:type="dxa"/>
            </w:tcMar>
          </w:tcPr>
          <w:p>
            <w:pPr>
              <w:spacing w:after="0"/>
            </w:pPr>
            <w:r>
              <w:rPr>
                <w:sz w:val="18"/>
              </w:rPr>
              <w:t>The zoning framework permits ground-oriented multifamily housing and a theoretical maximum near 30 units.</w:t>
            </w:r>
          </w:p>
        </w:tc>
      </w:tr>
      <w:tr>
        <w:tc>
          <w:tcPr>
            <w:tcW w:type="dxa" w:w="2880"/>
            <w:vAlign w:val="center"/>
            <w:tcMar>
              <w:top w:w="90" w:type="dxa"/>
              <w:start w:w="90" w:type="dxa"/>
              <w:bottom w:w="90" w:type="dxa"/>
              <w:end w:w="90" w:type="dxa"/>
            </w:tcMar>
            <w:shd w:fill="F3F6F8"/>
          </w:tcPr>
          <w:p>
            <w:pPr>
              <w:spacing w:after="0"/>
            </w:pPr>
            <w:r>
              <w:rPr>
                <w:sz w:val="18"/>
              </w:rPr>
              <w:t>Subdivision and civil work completed to date</w:t>
            </w:r>
          </w:p>
        </w:tc>
        <w:tc>
          <w:tcPr>
            <w:tcW w:type="dxa" w:w="1728"/>
            <w:vAlign w:val="center"/>
            <w:tcMar>
              <w:top w:w="90" w:type="dxa"/>
              <w:start w:w="90" w:type="dxa"/>
              <w:bottom w:w="90" w:type="dxa"/>
              <w:end w:w="90" w:type="dxa"/>
            </w:tcMar>
            <w:shd w:fill="F3F6F8"/>
          </w:tcPr>
          <w:p>
            <w:pPr>
              <w:spacing w:after="0"/>
            </w:pPr>
            <w:r>
              <w:rPr>
                <w:sz w:val="18"/>
              </w:rPr>
              <w:t>Positive</w:t>
            </w:r>
          </w:p>
        </w:tc>
        <w:tc>
          <w:tcPr>
            <w:tcW w:type="dxa" w:w="5616"/>
            <w:vAlign w:val="center"/>
            <w:tcMar>
              <w:top w:w="90" w:type="dxa"/>
              <w:start w:w="90" w:type="dxa"/>
              <w:bottom w:w="90" w:type="dxa"/>
              <w:end w:w="90" w:type="dxa"/>
            </w:tcMar>
            <w:shd w:fill="F3F6F8"/>
          </w:tcPr>
          <w:p>
            <w:pPr>
              <w:spacing w:after="0"/>
            </w:pPr>
            <w:r>
              <w:rPr>
                <w:sz w:val="18"/>
              </w:rPr>
              <w:t>The preliminary layout review and accepted engineering work reduce early planning uncertainty.</w:t>
            </w:r>
          </w:p>
        </w:tc>
      </w:tr>
      <w:tr>
        <w:tc>
          <w:tcPr>
            <w:tcW w:type="dxa" w:w="2880"/>
            <w:vAlign w:val="center"/>
            <w:tcMar>
              <w:top w:w="90" w:type="dxa"/>
              <w:start w:w="90" w:type="dxa"/>
              <w:bottom w:w="90" w:type="dxa"/>
              <w:end w:w="90" w:type="dxa"/>
            </w:tcMar>
          </w:tcPr>
          <w:p>
            <w:pPr>
              <w:spacing w:after="0"/>
            </w:pPr>
            <w:r>
              <w:rPr>
                <w:sz w:val="18"/>
              </w:rPr>
              <w:t>Slope and retaining requirements</w:t>
            </w:r>
          </w:p>
        </w:tc>
        <w:tc>
          <w:tcPr>
            <w:tcW w:type="dxa" w:w="1728"/>
            <w:vAlign w:val="center"/>
            <w:tcMar>
              <w:top w:w="90" w:type="dxa"/>
              <w:start w:w="90" w:type="dxa"/>
              <w:bottom w:w="90" w:type="dxa"/>
              <w:end w:w="90" w:type="dxa"/>
            </w:tcMar>
          </w:tcPr>
          <w:p>
            <w:pPr>
              <w:spacing w:after="0"/>
            </w:pPr>
            <w:r>
              <w:rPr>
                <w:sz w:val="18"/>
              </w:rPr>
              <w:t>Negative</w:t>
            </w:r>
          </w:p>
        </w:tc>
        <w:tc>
          <w:tcPr>
            <w:tcW w:type="dxa" w:w="5616"/>
            <w:vAlign w:val="center"/>
            <w:tcMar>
              <w:top w:w="90" w:type="dxa"/>
              <w:start w:w="90" w:type="dxa"/>
              <w:bottom w:w="90" w:type="dxa"/>
              <w:end w:w="90" w:type="dxa"/>
            </w:tcMar>
          </w:tcPr>
          <w:p>
            <w:pPr>
              <w:spacing w:after="0"/>
            </w:pPr>
            <w:r>
              <w:rPr>
                <w:sz w:val="18"/>
              </w:rPr>
              <w:t>Grading and retaining costs reduce the residual available for land.</w:t>
            </w:r>
          </w:p>
        </w:tc>
      </w:tr>
      <w:tr>
        <w:tc>
          <w:tcPr>
            <w:tcW w:type="dxa" w:w="2880"/>
            <w:vAlign w:val="center"/>
            <w:tcMar>
              <w:top w:w="90" w:type="dxa"/>
              <w:start w:w="90" w:type="dxa"/>
              <w:bottom w:w="90" w:type="dxa"/>
              <w:end w:w="90" w:type="dxa"/>
            </w:tcMar>
            <w:shd w:fill="F3F6F8"/>
          </w:tcPr>
          <w:p>
            <w:pPr>
              <w:spacing w:after="0"/>
            </w:pPr>
            <w:r>
              <w:rPr>
                <w:sz w:val="18"/>
              </w:rPr>
              <w:t>Off-site and frontage servicing</w:t>
            </w:r>
          </w:p>
        </w:tc>
        <w:tc>
          <w:tcPr>
            <w:tcW w:type="dxa" w:w="1728"/>
            <w:vAlign w:val="center"/>
            <w:tcMar>
              <w:top w:w="90" w:type="dxa"/>
              <w:start w:w="90" w:type="dxa"/>
              <w:bottom w:w="90" w:type="dxa"/>
              <w:end w:w="90" w:type="dxa"/>
            </w:tcMar>
            <w:shd w:fill="F3F6F8"/>
          </w:tcPr>
          <w:p>
            <w:pPr>
              <w:spacing w:after="0"/>
            </w:pPr>
            <w:r>
              <w:rPr>
                <w:sz w:val="18"/>
              </w:rPr>
              <w:t>Negative</w:t>
            </w:r>
          </w:p>
        </w:tc>
        <w:tc>
          <w:tcPr>
            <w:tcW w:type="dxa" w:w="5616"/>
            <w:vAlign w:val="center"/>
            <w:tcMar>
              <w:top w:w="90" w:type="dxa"/>
              <w:start w:w="90" w:type="dxa"/>
              <w:bottom w:w="90" w:type="dxa"/>
              <w:end w:w="90" w:type="dxa"/>
            </w:tcMar>
            <w:shd w:fill="F3F6F8"/>
          </w:tcPr>
          <w:p>
            <w:pPr>
              <w:spacing w:after="0"/>
            </w:pPr>
            <w:r>
              <w:rPr>
                <w:sz w:val="18"/>
              </w:rPr>
              <w:t>18th Street, Pleasant Valley Road and utility work may represent substantial purchaser obligations.</w:t>
            </w:r>
          </w:p>
        </w:tc>
      </w:tr>
      <w:tr>
        <w:tc>
          <w:tcPr>
            <w:tcW w:type="dxa" w:w="2880"/>
            <w:vAlign w:val="center"/>
            <w:tcMar>
              <w:top w:w="90" w:type="dxa"/>
              <w:start w:w="90" w:type="dxa"/>
              <w:bottom w:w="90" w:type="dxa"/>
              <w:end w:w="90" w:type="dxa"/>
            </w:tcMar>
          </w:tcPr>
          <w:p>
            <w:pPr>
              <w:spacing w:after="0"/>
            </w:pPr>
            <w:r>
              <w:rPr>
                <w:sz w:val="18"/>
              </w:rPr>
              <w:t>Approval and yield uncertainty</w:t>
            </w:r>
          </w:p>
        </w:tc>
        <w:tc>
          <w:tcPr>
            <w:tcW w:type="dxa" w:w="1728"/>
            <w:vAlign w:val="center"/>
            <w:tcMar>
              <w:top w:w="90" w:type="dxa"/>
              <w:start w:w="90" w:type="dxa"/>
              <w:bottom w:w="90" w:type="dxa"/>
              <w:end w:w="90" w:type="dxa"/>
            </w:tcMar>
          </w:tcPr>
          <w:p>
            <w:pPr>
              <w:spacing w:after="0"/>
            </w:pPr>
            <w:r>
              <w:rPr>
                <w:sz w:val="18"/>
              </w:rPr>
              <w:t>Negative</w:t>
            </w:r>
          </w:p>
        </w:tc>
        <w:tc>
          <w:tcPr>
            <w:tcW w:type="dxa" w:w="5616"/>
            <w:vAlign w:val="center"/>
            <w:tcMar>
              <w:top w:w="90" w:type="dxa"/>
              <w:start w:w="90" w:type="dxa"/>
              <w:bottom w:w="90" w:type="dxa"/>
              <w:end w:w="90" w:type="dxa"/>
            </w:tcMar>
          </w:tcPr>
          <w:p>
            <w:pPr>
              <w:spacing w:after="0"/>
            </w:pPr>
            <w:r>
              <w:rPr>
                <w:sz w:val="18"/>
              </w:rPr>
              <w:t>The final site plan, parking, fire access, easements and geotechnical envelope remain unresolved.</w:t>
            </w:r>
          </w:p>
        </w:tc>
      </w:tr>
      <w:tr>
        <w:tc>
          <w:tcPr>
            <w:tcW w:type="dxa" w:w="2880"/>
            <w:vAlign w:val="center"/>
            <w:tcMar>
              <w:top w:w="90" w:type="dxa"/>
              <w:start w:w="90" w:type="dxa"/>
              <w:bottom w:w="90" w:type="dxa"/>
              <w:end w:w="90" w:type="dxa"/>
            </w:tcMar>
            <w:shd w:fill="F3F6F8"/>
          </w:tcPr>
          <w:p>
            <w:pPr>
              <w:spacing w:after="0"/>
            </w:pPr>
            <w:r>
              <w:rPr>
                <w:sz w:val="18"/>
              </w:rPr>
              <w:t>Soft 2026 market conditions</w:t>
            </w:r>
          </w:p>
        </w:tc>
        <w:tc>
          <w:tcPr>
            <w:tcW w:type="dxa" w:w="1728"/>
            <w:vAlign w:val="center"/>
            <w:tcMar>
              <w:top w:w="90" w:type="dxa"/>
              <w:start w:w="90" w:type="dxa"/>
              <w:bottom w:w="90" w:type="dxa"/>
              <w:end w:w="90" w:type="dxa"/>
            </w:tcMar>
            <w:shd w:fill="F3F6F8"/>
          </w:tcPr>
          <w:p>
            <w:pPr>
              <w:spacing w:after="0"/>
            </w:pPr>
            <w:r>
              <w:rPr>
                <w:sz w:val="18"/>
              </w:rPr>
              <w:t>Negative</w:t>
            </w:r>
          </w:p>
        </w:tc>
        <w:tc>
          <w:tcPr>
            <w:tcW w:type="dxa" w:w="5616"/>
            <w:vAlign w:val="center"/>
            <w:tcMar>
              <w:top w:w="90" w:type="dxa"/>
              <w:start w:w="90" w:type="dxa"/>
              <w:bottom w:w="90" w:type="dxa"/>
              <w:end w:w="90" w:type="dxa"/>
            </w:tcMar>
            <w:shd w:fill="F3F6F8"/>
          </w:tcPr>
          <w:p>
            <w:pPr>
              <w:spacing w:after="0"/>
            </w:pPr>
            <w:r>
              <w:rPr>
                <w:sz w:val="18"/>
              </w:rPr>
              <w:t>Lower sales volume and longer marketing periods increase absorption and financing risk.</w:t>
            </w:r>
          </w:p>
        </w:tc>
      </w:tr>
      <w:tr>
        <w:tc>
          <w:tcPr>
            <w:tcW w:type="dxa" w:w="2880"/>
            <w:vAlign w:val="center"/>
            <w:tcMar>
              <w:top w:w="90" w:type="dxa"/>
              <w:start w:w="90" w:type="dxa"/>
              <w:bottom w:w="90" w:type="dxa"/>
              <w:end w:w="90" w:type="dxa"/>
            </w:tcMar>
          </w:tcPr>
          <w:p>
            <w:pPr>
              <w:spacing w:after="0"/>
            </w:pPr>
            <w:r>
              <w:rPr>
                <w:sz w:val="18"/>
              </w:rPr>
              <w:t>Separate retained house parcel</w:t>
            </w:r>
          </w:p>
        </w:tc>
        <w:tc>
          <w:tcPr>
            <w:tcW w:type="dxa" w:w="1728"/>
            <w:vAlign w:val="center"/>
            <w:tcMar>
              <w:top w:w="90" w:type="dxa"/>
              <w:start w:w="90" w:type="dxa"/>
              <w:bottom w:w="90" w:type="dxa"/>
              <w:end w:w="90" w:type="dxa"/>
            </w:tcMar>
          </w:tcPr>
          <w:p>
            <w:pPr>
              <w:spacing w:after="0"/>
            </w:pPr>
            <w:r>
              <w:rPr>
                <w:sz w:val="18"/>
              </w:rPr>
              <w:t>Neutral to positive</w:t>
            </w:r>
          </w:p>
        </w:tc>
        <w:tc>
          <w:tcPr>
            <w:tcW w:type="dxa" w:w="5616"/>
            <w:vAlign w:val="center"/>
            <w:tcMar>
              <w:top w:w="90" w:type="dxa"/>
              <w:start w:w="90" w:type="dxa"/>
              <w:bottom w:w="90" w:type="dxa"/>
              <w:end w:w="90" w:type="dxa"/>
            </w:tcMar>
          </w:tcPr>
          <w:p>
            <w:pPr>
              <w:spacing w:after="0"/>
            </w:pPr>
            <w:r>
              <w:rPr>
                <w:sz w:val="18"/>
              </w:rPr>
              <w:t>The lower parcel can be evaluated independently without carrying the house, subject to clean servicing and easement arrangements.</w:t>
            </w:r>
          </w:p>
        </w:tc>
      </w:tr>
    </w:tbl>
    <w:p>
      <w:pPr>
        <w:spacing w:after="0"/>
      </w:pPr>
    </w:p>
    <w:p>
      <w:pPr>
        <w:pStyle w:val="Heading1"/>
      </w:pPr>
      <w:r>
        <w:t>Value Ranges by Approval Status</w:t>
      </w:r>
    </w:p>
    <w:tbl>
      <w:tblPr>
        <w:tblW w:type="auto" w:w="0"/>
        <w:jc w:val="center"/>
        <w:tblLayout w:type="fixed"/>
        <w:tblLook w:firstColumn="1" w:firstRow="1" w:lastColumn="0" w:lastRow="0" w:noHBand="0" w:noVBand="1" w:val="04A0"/>
        <w:tblBorders>
          <w:top w:val="single" w:sz="4" w:color="D9D9D9"/>
          <w:left w:val="single" w:sz="4" w:color="D9D9D9"/>
          <w:bottom w:val="single" w:sz="4" w:color="D9D9D9"/>
          <w:right w:val="single" w:sz="4" w:color="D9D9D9"/>
          <w:insideH w:val="single" w:sz="4" w:color="D9D9D9"/>
          <w:insideV w:val="single" w:sz="4" w:color="D9D9D9"/>
        </w:tblBorders>
      </w:tblPr>
      <w:tblGrid>
        <w:gridCol w:w="3360"/>
        <w:gridCol w:w="3360"/>
        <w:gridCol w:w="3360"/>
      </w:tblGrid>
      <w:tr>
        <w:tc>
          <w:tcPr>
            <w:tcW w:type="dxa" w:w="3024"/>
            <w:shd w:fill="24364B"/>
            <w:vAlign w:val="center"/>
            <w:tcMar>
              <w:top w:w="90" w:type="dxa"/>
              <w:start w:w="90" w:type="dxa"/>
              <w:bottom w:w="90" w:type="dxa"/>
              <w:end w:w="90" w:type="dxa"/>
            </w:tcMar>
          </w:tcPr>
          <w:p>
            <w:r>
              <w:rPr>
                <w:b/>
                <w:color w:val="FFFFFF"/>
                <w:sz w:val="18"/>
              </w:rPr>
              <w:t>Status</w:t>
            </w:r>
          </w:p>
        </w:tc>
        <w:tc>
          <w:tcPr>
            <w:tcW w:type="dxa" w:w="2448"/>
            <w:shd w:fill="24364B"/>
            <w:vAlign w:val="center"/>
            <w:tcMar>
              <w:top w:w="90" w:type="dxa"/>
              <w:start w:w="90" w:type="dxa"/>
              <w:bottom w:w="90" w:type="dxa"/>
              <w:end w:w="90" w:type="dxa"/>
            </w:tcMar>
          </w:tcPr>
          <w:p>
            <w:r>
              <w:rPr>
                <w:b/>
                <w:color w:val="FFFFFF"/>
                <w:sz w:val="18"/>
              </w:rPr>
              <w:t>Indicated range</w:t>
            </w:r>
          </w:p>
        </w:tc>
        <w:tc>
          <w:tcPr>
            <w:tcW w:type="dxa" w:w="4752"/>
            <w:shd w:fill="24364B"/>
            <w:vAlign w:val="center"/>
            <w:tcMar>
              <w:top w:w="90" w:type="dxa"/>
              <w:start w:w="90" w:type="dxa"/>
              <w:bottom w:w="90" w:type="dxa"/>
              <w:end w:w="90" w:type="dxa"/>
            </w:tcMar>
          </w:tcPr>
          <w:p>
            <w:r>
              <w:rPr>
                <w:b/>
                <w:color w:val="FFFFFF"/>
                <w:sz w:val="18"/>
              </w:rPr>
              <w:t>Interpretation</w:t>
            </w:r>
          </w:p>
        </w:tc>
      </w:tr>
      <w:tr>
        <w:tc>
          <w:tcPr>
            <w:tcW w:type="dxa" w:w="3024"/>
            <w:vAlign w:val="center"/>
            <w:tcMar>
              <w:top w:w="90" w:type="dxa"/>
              <w:start w:w="90" w:type="dxa"/>
              <w:bottom w:w="90" w:type="dxa"/>
              <w:end w:w="90" w:type="dxa"/>
            </w:tcMar>
          </w:tcPr>
          <w:p>
            <w:pPr>
              <w:spacing w:after="0"/>
            </w:pPr>
            <w:r>
              <w:rPr>
                <w:sz w:val="18"/>
              </w:rPr>
              <w:t>Current planning position</w:t>
            </w:r>
          </w:p>
        </w:tc>
        <w:tc>
          <w:tcPr>
            <w:tcW w:type="dxa" w:w="2448"/>
            <w:vAlign w:val="center"/>
            <w:tcMar>
              <w:top w:w="90" w:type="dxa"/>
              <w:start w:w="90" w:type="dxa"/>
              <w:bottom w:w="90" w:type="dxa"/>
              <w:end w:w="90" w:type="dxa"/>
            </w:tcMar>
          </w:tcPr>
          <w:p>
            <w:pPr>
              <w:spacing w:after="0"/>
            </w:pPr>
            <w:r>
              <w:rPr>
                <w:sz w:val="18"/>
              </w:rPr>
              <w:t>$1,300,000 to $1,550,000</w:t>
            </w:r>
          </w:p>
        </w:tc>
        <w:tc>
          <w:tcPr>
            <w:tcW w:type="dxa" w:w="4752"/>
            <w:vAlign w:val="center"/>
            <w:tcMar>
              <w:top w:w="90" w:type="dxa"/>
              <w:start w:w="90" w:type="dxa"/>
              <w:bottom w:w="90" w:type="dxa"/>
              <w:end w:w="90" w:type="dxa"/>
            </w:tcMar>
          </w:tcPr>
          <w:p>
            <w:pPr>
              <w:spacing w:after="0"/>
            </w:pPr>
            <w:r>
              <w:rPr>
                <w:sz w:val="18"/>
              </w:rPr>
              <w:t>Recommended present planning range, assuming 23 to 25 practical units.</w:t>
            </w:r>
          </w:p>
        </w:tc>
      </w:tr>
      <w:tr>
        <w:tc>
          <w:tcPr>
            <w:tcW w:type="dxa" w:w="3024"/>
            <w:vAlign w:val="center"/>
            <w:tcMar>
              <w:top w:w="90" w:type="dxa"/>
              <w:start w:w="90" w:type="dxa"/>
              <w:bottom w:w="90" w:type="dxa"/>
              <w:end w:w="90" w:type="dxa"/>
            </w:tcMar>
            <w:shd w:fill="F3F6F8"/>
          </w:tcPr>
          <w:p>
            <w:pPr>
              <w:spacing w:after="0"/>
            </w:pPr>
            <w:r>
              <w:rPr>
                <w:sz w:val="18"/>
              </w:rPr>
              <w:t>Subdivision registered and key servicing obligations fixed</w:t>
            </w:r>
          </w:p>
        </w:tc>
        <w:tc>
          <w:tcPr>
            <w:tcW w:type="dxa" w:w="2448"/>
            <w:vAlign w:val="center"/>
            <w:tcMar>
              <w:top w:w="90" w:type="dxa"/>
              <w:start w:w="90" w:type="dxa"/>
              <w:bottom w:w="90" w:type="dxa"/>
              <w:end w:w="90" w:type="dxa"/>
            </w:tcMar>
            <w:shd w:fill="F3F6F8"/>
          </w:tcPr>
          <w:p>
            <w:pPr>
              <w:spacing w:after="0"/>
            </w:pPr>
            <w:r>
              <w:rPr>
                <w:sz w:val="18"/>
              </w:rPr>
              <w:t>$1,400,000 to $1,650,000</w:t>
            </w:r>
          </w:p>
        </w:tc>
        <w:tc>
          <w:tcPr>
            <w:tcW w:type="dxa" w:w="4752"/>
            <w:vAlign w:val="center"/>
            <w:tcMar>
              <w:top w:w="90" w:type="dxa"/>
              <w:start w:w="90" w:type="dxa"/>
              <w:bottom w:w="90" w:type="dxa"/>
              <w:end w:w="90" w:type="dxa"/>
            </w:tcMar>
            <w:shd w:fill="F3F6F8"/>
          </w:tcPr>
          <w:p>
            <w:pPr>
              <w:spacing w:after="0"/>
            </w:pPr>
            <w:r>
              <w:rPr>
                <w:sz w:val="18"/>
              </w:rPr>
              <w:t>Reduced entitlement and cost uncertainty may support the upper half of the range.</w:t>
            </w:r>
          </w:p>
        </w:tc>
      </w:tr>
      <w:tr>
        <w:tc>
          <w:tcPr>
            <w:tcW w:type="dxa" w:w="3024"/>
            <w:vAlign w:val="center"/>
            <w:tcMar>
              <w:top w:w="90" w:type="dxa"/>
              <w:start w:w="90" w:type="dxa"/>
              <w:bottom w:w="90" w:type="dxa"/>
              <w:end w:w="90" w:type="dxa"/>
            </w:tcMar>
          </w:tcPr>
          <w:p>
            <w:pPr>
              <w:spacing w:after="0"/>
            </w:pPr>
            <w:r>
              <w:rPr>
                <w:sz w:val="18"/>
              </w:rPr>
              <w:t>Development permit or equivalent certainty for 28 units</w:t>
            </w:r>
          </w:p>
        </w:tc>
        <w:tc>
          <w:tcPr>
            <w:tcW w:type="dxa" w:w="2448"/>
            <w:vAlign w:val="center"/>
            <w:tcMar>
              <w:top w:w="90" w:type="dxa"/>
              <w:start w:w="90" w:type="dxa"/>
              <w:bottom w:w="90" w:type="dxa"/>
              <w:end w:w="90" w:type="dxa"/>
            </w:tcMar>
          </w:tcPr>
          <w:p>
            <w:pPr>
              <w:spacing w:after="0"/>
            </w:pPr>
            <w:r>
              <w:rPr>
                <w:sz w:val="18"/>
              </w:rPr>
              <w:t>$1,540,000 to $1,820,000</w:t>
            </w:r>
          </w:p>
        </w:tc>
        <w:tc>
          <w:tcPr>
            <w:tcW w:type="dxa" w:w="4752"/>
            <w:vAlign w:val="center"/>
            <w:tcMar>
              <w:top w:w="90" w:type="dxa"/>
              <w:start w:w="90" w:type="dxa"/>
              <w:bottom w:w="90" w:type="dxa"/>
              <w:end w:w="90" w:type="dxa"/>
            </w:tcMar>
          </w:tcPr>
          <w:p>
            <w:pPr>
              <w:spacing w:after="0"/>
            </w:pPr>
            <w:r>
              <w:rPr>
                <w:sz w:val="18"/>
              </w:rPr>
              <w:t>Direct application of Joe’s $55,000 to $65,000 range to 28 approved units.</w:t>
            </w:r>
          </w:p>
        </w:tc>
      </w:tr>
      <w:tr>
        <w:tc>
          <w:tcPr>
            <w:tcW w:type="dxa" w:w="3024"/>
            <w:vAlign w:val="center"/>
            <w:tcMar>
              <w:top w:w="90" w:type="dxa"/>
              <w:start w:w="90" w:type="dxa"/>
              <w:bottom w:w="90" w:type="dxa"/>
              <w:end w:w="90" w:type="dxa"/>
            </w:tcMar>
            <w:shd w:fill="F3F6F8"/>
          </w:tcPr>
          <w:p>
            <w:pPr>
              <w:spacing w:after="0"/>
            </w:pPr>
            <w:r>
              <w:rPr>
                <w:sz w:val="18"/>
              </w:rPr>
              <w:t>Maximum 30 unit approval</w:t>
            </w:r>
          </w:p>
        </w:tc>
        <w:tc>
          <w:tcPr>
            <w:tcW w:type="dxa" w:w="2448"/>
            <w:vAlign w:val="center"/>
            <w:tcMar>
              <w:top w:w="90" w:type="dxa"/>
              <w:start w:w="90" w:type="dxa"/>
              <w:bottom w:w="90" w:type="dxa"/>
              <w:end w:w="90" w:type="dxa"/>
            </w:tcMar>
            <w:shd w:fill="F3F6F8"/>
          </w:tcPr>
          <w:p>
            <w:pPr>
              <w:spacing w:after="0"/>
            </w:pPr>
            <w:r>
              <w:rPr>
                <w:sz w:val="18"/>
              </w:rPr>
              <w:t>$1,650,000 to $1,950,000</w:t>
            </w:r>
          </w:p>
        </w:tc>
        <w:tc>
          <w:tcPr>
            <w:tcW w:type="dxa" w:w="4752"/>
            <w:vAlign w:val="center"/>
            <w:tcMar>
              <w:top w:w="90" w:type="dxa"/>
              <w:start w:w="90" w:type="dxa"/>
              <w:bottom w:w="90" w:type="dxa"/>
              <w:end w:w="90" w:type="dxa"/>
            </w:tcMar>
            <w:shd w:fill="F3F6F8"/>
          </w:tcPr>
          <w:p>
            <w:pPr>
              <w:spacing w:after="0"/>
            </w:pPr>
            <w:r>
              <w:rPr>
                <w:sz w:val="18"/>
              </w:rPr>
              <w:t>Theoretical high case; requires confirmed buildability and should not be used today.</w:t>
            </w:r>
          </w:p>
        </w:tc>
      </w:tr>
    </w:tbl>
    <w:p>
      <w:pPr>
        <w:spacing w:after="0"/>
      </w:pPr>
    </w:p>
    <w:p>
      <w:pPr>
        <w:pStyle w:val="Heading1"/>
      </w:pPr>
      <w:r>
        <w:t>Reconciliation</w:t>
      </w:r>
    </w:p>
    <w:p>
      <w:r>
        <w:t>The appraiser’s density opinion is more persuasive than the theoretical zoning maximum because it recognizes actual site design. Applying 18 to 20 units per acre to 1.25 acres produces approximately 23 to 25 units. Applying the supported $55,000 to $65,000 rate gives an unadjusted range of approximately $1.24 million to $1.63 million.</w:t>
      </w:r>
    </w:p>
    <w:p>
      <w:r>
        <w:t>The subject has meaningful development potential, but a buyer must still account for site-specific servicing, grade and approval risk. The present range is therefore narrowed to $1.30 million to $1.55 million. The midpoint of $1.425 million corresponds closely with 24 units at approximately $60,000 per unit and approximately $1.14 million per acre.</w:t>
      </w:r>
    </w:p>
    <w:p>
      <w:pPr>
        <w:pStyle w:val="Heading1"/>
      </w:pPr>
      <w:r>
        <w:t>Reliance and Limitations</w:t>
      </w:r>
    </w:p>
    <w:p>
      <w:r>
        <w:t>This memorandum is a planning-level opinion prepared from the supplied engineering and subdivision documents, Joe Gourdine’s email and publicly available market information. It is not an appraisal under the Canadian Uniform Standards of Professional Appraisal Practice and was not prepared by an AACI appraiser. It should not be used for mortgage lending, securities, taxation, litigation or formal marketing representations.</w:t>
      </w:r>
    </w:p>
    <w:p>
      <w:r>
        <w:t>A final market value requires verification of registered title, zoning adoption, subdivision status, development cost charges, servicing estimates, geotechnical conditions, easements, environmental matters and confidential comparable sales through an appraiser or licensed commercial brokerage. The value range should be revised if the City confirms materially fewer or more than 23 to 25 buildable units.</w:t>
      </w:r>
    </w:p>
    <w:p>
      <w:pPr>
        <w:pStyle w:val="Heading1"/>
      </w:pPr>
      <w:r>
        <w:t>Sources</w:t>
      </w:r>
    </w:p>
    <w:p>
      <w:pPr>
        <w:pStyle w:val="ListBullet"/>
      </w:pPr>
      <w:hyperlink r:id="rId9">
        <w:r>
          <w:rPr>
            <w:color w:val="1F4E79"/>
            <w:u w:val="single"/>
          </w:rPr>
          <w:t>City of Vernon MUS zoning regulations</w:t>
        </w:r>
      </w:hyperlink>
    </w:p>
    <w:p>
      <w:pPr>
        <w:pStyle w:val="ListBullet"/>
      </w:pPr>
      <w:hyperlink r:id="rId10">
        <w:r>
          <w:rPr>
            <w:color w:val="1F4E79"/>
            <w:u w:val="single"/>
          </w:rPr>
          <w:t>City of Vernon November 24 2025 Council summary</w:t>
        </w:r>
      </w:hyperlink>
    </w:p>
    <w:p>
      <w:pPr>
        <w:pStyle w:val="ListBullet"/>
      </w:pPr>
      <w:hyperlink r:id="rId11">
        <w:r>
          <w:rPr>
            <w:color w:val="1F4E79"/>
            <w:u w:val="single"/>
          </w:rPr>
          <w:t>Association of Interior REALTORS market statistics</w:t>
        </w:r>
      </w:hyperlink>
    </w:p>
    <w:p>
      <w:pPr>
        <w:pStyle w:val="ListBullet"/>
      </w:pPr>
      <w:hyperlink r:id="rId12">
        <w:r>
          <w:rPr>
            <w:color w:val="1F4E79"/>
            <w:u w:val="single"/>
          </w:rPr>
          <w:t>North Okanagan July 2026 market overview</w:t>
        </w:r>
      </w:hyperlink>
    </w:p>
    <w:p>
      <w:pPr>
        <w:pStyle w:val="ListBullet"/>
      </w:pPr>
      <w:hyperlink r:id="rId13">
        <w:r>
          <w:rPr>
            <w:color w:val="1F4E79"/>
            <w:u w:val="single"/>
          </w:rPr>
          <w:t>3914 Alexis Park Drive development land record</w:t>
        </w:r>
      </w:hyperlink>
    </w:p>
    <w:p>
      <w:pPr>
        <w:pStyle w:val="ListBullet"/>
      </w:pPr>
      <w:hyperlink r:id="rId14">
        <w:r>
          <w:rPr>
            <w:color w:val="1F4E79"/>
            <w:u w:val="single"/>
          </w:rPr>
          <w:t>2003 37 Avenue Vernon listing record</w:t>
        </w:r>
      </w:hyperlink>
    </w:p>
    <w:sectPr w:rsidR="00FC693F" w:rsidRPr="0006063C" w:rsidSect="00034616">
      <w:headerReference w:type="default" r:id="rId15"/>
      <w:footerReference w:type="default" r:id="rId16"/>
      <w:pgSz w:w="12240" w:h="15840"/>
      <w:pgMar w:top="1008"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46464"/>
        <w:sz w:val="16"/>
      </w:rPr>
      <w:t xml:space="preserve">Planning level opinion  September 13 2026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646464"/>
        <w:sz w:val="16"/>
      </w:rPr>
      <w:t>4900 Pleasant Valley Road  Lower Parcel Land Value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000000"/>
      <w:sz w:val="30"/>
      <w:szCs w:val="28"/>
    </w:rPr>
  </w:style>
  <w:style w:type="paragraph" w:styleId="Heading2">
    <w:name w:val="heading 2"/>
    <w:basedOn w:val="Normal"/>
    <w:next w:val="Normal"/>
    <w:link w:val="Heading2Char"/>
    <w:uiPriority w:val="9"/>
    <w:unhideWhenUsed/>
    <w:qFormat/>
    <w:rsid w:val="00FC693F"/>
    <w:pPr>
      <w:keepNext/>
      <w:keepLines/>
      <w:spacing w:before="180" w:after="80"/>
      <w:outlineLvl w:val="1"/>
    </w:pPr>
    <w:rPr>
      <w:rFonts w:asciiTheme="majorHAnsi" w:eastAsiaTheme="majorEastAsia" w:hAnsiTheme="majorHAnsi" w:cstheme="majorBidi" w:ascii="Aptos Display" w:hAnsi="Aptos Display"/>
      <w:b/>
      <w:bCs/>
      <w:color w:val="000000"/>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0000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vernon.ca/sites/default/files/docs/planning-building/zoning/bylaw6000/section-9_1-mus.pdf" TargetMode="External"/><Relationship Id="rId10" Type="http://schemas.openxmlformats.org/officeDocument/2006/relationships/hyperlink" Target="https://www.vernon.ca/activities-events/news-events/news-archive/highlights-november-24-council-meeting" TargetMode="External"/><Relationship Id="rId11" Type="http://schemas.openxmlformats.org/officeDocument/2006/relationships/hyperlink" Target="https://www.interiorrealtors.ca/market-statistics/" TargetMode="External"/><Relationship Id="rId12" Type="http://schemas.openxmlformats.org/officeDocument/2006/relationships/hyperlink" Target="https://www.kelownarealestate.com/blog-posts/okanagan-real-estate-market-overview-july-2026" TargetMode="External"/><Relationship Id="rId13" Type="http://schemas.openxmlformats.org/officeDocument/2006/relationships/hyperlink" Target="https://hmcommercial.com/our-listings/medium-density-residential-development-land-in-vernon/" TargetMode="External"/><Relationship Id="rId14" Type="http://schemas.openxmlformats.org/officeDocument/2006/relationships/hyperlink" Target="https://www.realty.ca/home-listings/209835014/2003-37-Avenue-Vernon-BC-V1t2w9"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